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B358" w14:textId="77777777" w:rsidR="003F64DF" w:rsidRPr="000852D0" w:rsidRDefault="00D438CE">
      <w:pPr>
        <w:pStyle w:val="BodyText"/>
        <w:rPr>
          <w:b/>
          <w:sz w:val="20"/>
          <w:u w:val="single"/>
        </w:rPr>
      </w:pPr>
      <w:r>
        <w:rPr>
          <w:b/>
          <w:sz w:val="20"/>
          <w:u w:val="single"/>
        </w:rPr>
        <w:t xml:space="preserve"> </w:t>
      </w:r>
    </w:p>
    <w:p w14:paraId="3312FF80" w14:textId="77777777" w:rsidR="003F64DF" w:rsidRDefault="003F64DF">
      <w:pPr>
        <w:pStyle w:val="BodyText"/>
        <w:spacing w:before="5"/>
        <w:rPr>
          <w:b/>
          <w:sz w:val="20"/>
        </w:rPr>
      </w:pPr>
    </w:p>
    <w:p w14:paraId="6A943E67" w14:textId="47B54FF4" w:rsidR="008869E9" w:rsidRDefault="008869E9" w:rsidP="000701DE">
      <w:pPr>
        <w:pStyle w:val="Heading1"/>
        <w:spacing w:before="80"/>
        <w:ind w:left="0"/>
      </w:pPr>
      <w:r>
        <w:t>Suggested Answers</w:t>
      </w:r>
    </w:p>
    <w:p w14:paraId="542AE1D7" w14:textId="77777777" w:rsidR="003F64DF" w:rsidRDefault="003F64DF">
      <w:pPr>
        <w:pStyle w:val="BodyText"/>
        <w:spacing w:before="1"/>
        <w:rPr>
          <w:sz w:val="20"/>
        </w:rPr>
      </w:pPr>
    </w:p>
    <w:p w14:paraId="0C26C894" w14:textId="77777777" w:rsidR="008869E9" w:rsidRDefault="008869E9" w:rsidP="008869E9">
      <w:pPr>
        <w:pStyle w:val="TableParagraph"/>
        <w:spacing w:before="121"/>
        <w:ind w:left="0" w:right="124"/>
        <w:rPr>
          <w:b/>
        </w:rPr>
      </w:pPr>
      <w:r>
        <w:rPr>
          <w:b/>
          <w:color w:val="111111"/>
        </w:rPr>
        <w:t>(a)</w:t>
      </w:r>
      <w:r>
        <w:rPr>
          <w:b/>
          <w:color w:val="111111"/>
          <w:spacing w:val="60"/>
        </w:rPr>
        <w:t xml:space="preserve"> </w:t>
      </w:r>
      <w:r>
        <w:rPr>
          <w:b/>
          <w:color w:val="111111"/>
        </w:rPr>
        <w:t>(i)</w:t>
      </w:r>
      <w:r>
        <w:rPr>
          <w:b/>
        </w:rPr>
        <w:t xml:space="preserve">, </w:t>
      </w:r>
      <w:r>
        <w:rPr>
          <w:b/>
          <w:color w:val="111111"/>
        </w:rPr>
        <w:t>Define price elasticity of demand.</w:t>
      </w:r>
      <w:r>
        <w:rPr>
          <w:b/>
        </w:rPr>
        <w:t xml:space="preserve">, </w:t>
      </w:r>
      <w:r>
        <w:rPr>
          <w:b/>
          <w:color w:val="111111"/>
          <w:w w:val="95"/>
        </w:rPr>
        <w:t>[1]</w:t>
      </w:r>
    </w:p>
    <w:p w14:paraId="46E99694" w14:textId="77777777" w:rsidR="008869E9" w:rsidRDefault="008869E9" w:rsidP="008869E9">
      <w:pPr>
        <w:pStyle w:val="TableParagraph"/>
        <w:spacing w:before="121"/>
        <w:ind w:right="112"/>
        <w:rPr>
          <w:i/>
        </w:rPr>
      </w:pPr>
      <w:r>
        <w:rPr>
          <w:i/>
        </w:rPr>
        <w:t xml:space="preserve">Price elasticity of demand (PED) is a measure to show the responsiveness, of the quantity demanded of a good or service to a change in its price, ceteris paribus. </w:t>
      </w:r>
      <w:r>
        <w:rPr>
          <w:b/>
          <w:i/>
        </w:rPr>
        <w:t xml:space="preserve">[1] </w:t>
      </w:r>
      <w:r>
        <w:rPr>
          <w:i/>
        </w:rPr>
        <w:t>PED gives the percentage change in quantity demanded in response to a one percent change in price.</w:t>
      </w:r>
    </w:p>
    <w:p w14:paraId="0A428A2E" w14:textId="77777777" w:rsidR="008869E9" w:rsidRDefault="008869E9" w:rsidP="008869E9">
      <w:pPr>
        <w:pStyle w:val="TableParagraph"/>
        <w:ind w:left="0"/>
        <w:rPr>
          <w:b/>
          <w:sz w:val="24"/>
        </w:rPr>
      </w:pPr>
    </w:p>
    <w:p w14:paraId="35BBB518" w14:textId="77777777" w:rsidR="008869E9" w:rsidRDefault="008869E9" w:rsidP="008869E9">
      <w:pPr>
        <w:pStyle w:val="TableParagraph"/>
        <w:spacing w:before="5"/>
        <w:ind w:left="0"/>
        <w:rPr>
          <w:b/>
          <w:sz w:val="32"/>
        </w:rPr>
      </w:pPr>
    </w:p>
    <w:p w14:paraId="7D1F1DE6" w14:textId="77777777" w:rsidR="008869E9" w:rsidRDefault="008869E9" w:rsidP="008869E9">
      <w:pPr>
        <w:pStyle w:val="TableParagraph"/>
        <w:spacing w:before="120"/>
        <w:ind w:left="0" w:right="124"/>
        <w:rPr>
          <w:b/>
        </w:rPr>
      </w:pPr>
      <w:r>
        <w:rPr>
          <w:b/>
          <w:color w:val="111111"/>
        </w:rPr>
        <w:t>(ii)</w:t>
      </w:r>
      <w:r>
        <w:rPr>
          <w:b/>
        </w:rPr>
        <w:t xml:space="preserve">, </w:t>
      </w:r>
      <w:r>
        <w:rPr>
          <w:b/>
          <w:color w:val="111111"/>
        </w:rPr>
        <w:t>What can you conclude from the evidence in Extract 1 about the likely value of the price elasticity of demand of gambling?</w:t>
      </w:r>
      <w:r>
        <w:rPr>
          <w:b/>
        </w:rPr>
        <w:t xml:space="preserve">, </w:t>
      </w:r>
      <w:r>
        <w:rPr>
          <w:b/>
          <w:color w:val="111111"/>
          <w:w w:val="95"/>
        </w:rPr>
        <w:t>[2]</w:t>
      </w:r>
    </w:p>
    <w:p w14:paraId="2DCB0BFF" w14:textId="77777777" w:rsidR="008869E9" w:rsidRDefault="008869E9" w:rsidP="008869E9">
      <w:pPr>
        <w:pStyle w:val="TableParagraph"/>
        <w:spacing w:before="120"/>
        <w:ind w:right="234"/>
        <w:rPr>
          <w:b/>
          <w:i/>
        </w:rPr>
      </w:pPr>
      <w:r>
        <w:rPr>
          <w:i/>
        </w:rPr>
        <w:t xml:space="preserve">Extract 1 suggests that gambling is highly addictive and successful advertising reinforces such behaviour. </w:t>
      </w:r>
      <w:r>
        <w:rPr>
          <w:b/>
          <w:i/>
        </w:rPr>
        <w:t xml:space="preserve">[1] </w:t>
      </w:r>
      <w:r>
        <w:rPr>
          <w:i/>
        </w:rPr>
        <w:t xml:space="preserve">Therefore, the demand should be highly inelastic and |PED| &lt; 1. </w:t>
      </w:r>
      <w:r>
        <w:rPr>
          <w:b/>
          <w:i/>
        </w:rPr>
        <w:t>[1]</w:t>
      </w:r>
    </w:p>
    <w:p w14:paraId="619810D3" w14:textId="77777777" w:rsidR="008869E9" w:rsidRDefault="008869E9" w:rsidP="008869E9">
      <w:pPr>
        <w:pStyle w:val="TableParagraph"/>
        <w:ind w:left="0"/>
        <w:rPr>
          <w:b/>
          <w:sz w:val="24"/>
        </w:rPr>
      </w:pPr>
    </w:p>
    <w:p w14:paraId="21CA4AAB" w14:textId="77777777" w:rsidR="008869E9" w:rsidRDefault="008869E9" w:rsidP="008869E9">
      <w:pPr>
        <w:pStyle w:val="TableParagraph"/>
        <w:spacing w:before="5"/>
        <w:ind w:left="0"/>
        <w:rPr>
          <w:b/>
          <w:sz w:val="32"/>
        </w:rPr>
      </w:pPr>
    </w:p>
    <w:p w14:paraId="689F37B1" w14:textId="77777777" w:rsidR="008869E9" w:rsidRDefault="008869E9" w:rsidP="008869E9">
      <w:pPr>
        <w:pStyle w:val="TableParagraph"/>
        <w:spacing w:before="120"/>
        <w:ind w:left="0" w:right="124"/>
        <w:rPr>
          <w:b/>
        </w:rPr>
      </w:pPr>
      <w:r>
        <w:rPr>
          <w:b/>
          <w:color w:val="111111"/>
        </w:rPr>
        <w:t>(iii)</w:t>
      </w:r>
      <w:r>
        <w:rPr>
          <w:b/>
        </w:rPr>
        <w:t xml:space="preserve">, </w:t>
      </w:r>
      <w:r>
        <w:rPr>
          <w:b/>
          <w:color w:val="111111"/>
        </w:rPr>
        <w:t>With reference to Extract 2 and the aid of a diagram, explain how the</w:t>
      </w:r>
      <w:r>
        <w:rPr>
          <w:b/>
          <w:color w:val="111111"/>
          <w:spacing w:val="-6"/>
        </w:rPr>
        <w:t xml:space="preserve"> </w:t>
      </w:r>
      <w:r>
        <w:rPr>
          <w:b/>
          <w:color w:val="111111"/>
        </w:rPr>
        <w:t>increase</w:t>
      </w:r>
      <w:r>
        <w:rPr>
          <w:b/>
          <w:color w:val="111111"/>
          <w:spacing w:val="-5"/>
        </w:rPr>
        <w:t xml:space="preserve"> </w:t>
      </w:r>
      <w:r>
        <w:rPr>
          <w:b/>
          <w:color w:val="111111"/>
        </w:rPr>
        <w:t>in</w:t>
      </w:r>
      <w:r>
        <w:rPr>
          <w:b/>
          <w:color w:val="111111"/>
          <w:spacing w:val="-6"/>
        </w:rPr>
        <w:t xml:space="preserve"> </w:t>
      </w:r>
      <w:r>
        <w:rPr>
          <w:b/>
          <w:color w:val="111111"/>
        </w:rPr>
        <w:t>betting</w:t>
      </w:r>
      <w:r>
        <w:rPr>
          <w:b/>
          <w:color w:val="111111"/>
          <w:spacing w:val="-6"/>
        </w:rPr>
        <w:t xml:space="preserve"> </w:t>
      </w:r>
      <w:r>
        <w:rPr>
          <w:b/>
          <w:color w:val="111111"/>
        </w:rPr>
        <w:t>charges</w:t>
      </w:r>
      <w:r>
        <w:rPr>
          <w:b/>
          <w:color w:val="111111"/>
          <w:spacing w:val="-5"/>
        </w:rPr>
        <w:t xml:space="preserve"> </w:t>
      </w:r>
      <w:r>
        <w:rPr>
          <w:b/>
          <w:color w:val="111111"/>
        </w:rPr>
        <w:t>accounts</w:t>
      </w:r>
      <w:r>
        <w:rPr>
          <w:b/>
          <w:color w:val="111111"/>
          <w:spacing w:val="-6"/>
        </w:rPr>
        <w:t xml:space="preserve"> </w:t>
      </w:r>
      <w:r>
        <w:rPr>
          <w:b/>
          <w:color w:val="111111"/>
        </w:rPr>
        <w:t>for</w:t>
      </w:r>
      <w:r>
        <w:rPr>
          <w:b/>
          <w:color w:val="111111"/>
          <w:spacing w:val="-5"/>
        </w:rPr>
        <w:t xml:space="preserve"> </w:t>
      </w:r>
      <w:r>
        <w:rPr>
          <w:b/>
          <w:color w:val="111111"/>
        </w:rPr>
        <w:t>the</w:t>
      </w:r>
      <w:r>
        <w:rPr>
          <w:b/>
          <w:color w:val="111111"/>
          <w:spacing w:val="-6"/>
        </w:rPr>
        <w:t xml:space="preserve"> </w:t>
      </w:r>
      <w:r>
        <w:rPr>
          <w:b/>
          <w:color w:val="111111"/>
        </w:rPr>
        <w:t>change</w:t>
      </w:r>
      <w:r>
        <w:rPr>
          <w:b/>
          <w:color w:val="111111"/>
          <w:spacing w:val="-5"/>
        </w:rPr>
        <w:t xml:space="preserve"> </w:t>
      </w:r>
      <w:r>
        <w:rPr>
          <w:b/>
          <w:color w:val="111111"/>
        </w:rPr>
        <w:t>in</w:t>
      </w:r>
      <w:r>
        <w:rPr>
          <w:b/>
          <w:color w:val="111111"/>
          <w:spacing w:val="-6"/>
        </w:rPr>
        <w:t xml:space="preserve"> </w:t>
      </w:r>
      <w:r>
        <w:rPr>
          <w:b/>
          <w:color w:val="111111"/>
        </w:rPr>
        <w:t>the</w:t>
      </w:r>
      <w:r>
        <w:rPr>
          <w:b/>
          <w:color w:val="111111"/>
          <w:spacing w:val="-5"/>
        </w:rPr>
        <w:t xml:space="preserve"> </w:t>
      </w:r>
      <w:r>
        <w:rPr>
          <w:b/>
          <w:color w:val="111111"/>
        </w:rPr>
        <w:t>UK’s household expenditure on</w:t>
      </w:r>
      <w:r>
        <w:rPr>
          <w:b/>
          <w:color w:val="111111"/>
          <w:spacing w:val="-1"/>
        </w:rPr>
        <w:t xml:space="preserve"> </w:t>
      </w:r>
      <w:r>
        <w:rPr>
          <w:b/>
          <w:color w:val="111111"/>
        </w:rPr>
        <w:t>gambling.</w:t>
      </w:r>
      <w:r>
        <w:rPr>
          <w:b/>
        </w:rPr>
        <w:t xml:space="preserve">, </w:t>
      </w:r>
      <w:r>
        <w:rPr>
          <w:b/>
          <w:color w:val="111111"/>
          <w:w w:val="95"/>
        </w:rPr>
        <w:t>[4]</w:t>
      </w:r>
    </w:p>
    <w:p w14:paraId="3F287CA2" w14:textId="77777777" w:rsidR="008869E9" w:rsidRDefault="008869E9" w:rsidP="008869E9">
      <w:pPr>
        <w:pStyle w:val="TableParagraph"/>
        <w:spacing w:before="120" w:line="259" w:lineRule="auto"/>
        <w:ind w:right="95"/>
        <w:jc w:val="both"/>
        <w:rPr>
          <w:b/>
          <w:i/>
        </w:rPr>
      </w:pPr>
      <w:r>
        <w:rPr>
          <w:i/>
        </w:rPr>
        <w:t>It</w:t>
      </w:r>
      <w:r>
        <w:rPr>
          <w:i/>
          <w:spacing w:val="-12"/>
        </w:rPr>
        <w:t xml:space="preserve"> </w:t>
      </w:r>
      <w:r>
        <w:rPr>
          <w:i/>
        </w:rPr>
        <w:t>is</w:t>
      </w:r>
      <w:r>
        <w:rPr>
          <w:i/>
          <w:spacing w:val="-11"/>
        </w:rPr>
        <w:t xml:space="preserve"> </w:t>
      </w:r>
      <w:r>
        <w:rPr>
          <w:i/>
        </w:rPr>
        <w:t>already</w:t>
      </w:r>
      <w:r>
        <w:rPr>
          <w:i/>
          <w:spacing w:val="-12"/>
        </w:rPr>
        <w:t xml:space="preserve"> </w:t>
      </w:r>
      <w:r>
        <w:rPr>
          <w:i/>
        </w:rPr>
        <w:t>established</w:t>
      </w:r>
      <w:r>
        <w:rPr>
          <w:i/>
          <w:spacing w:val="-11"/>
        </w:rPr>
        <w:t xml:space="preserve"> </w:t>
      </w:r>
      <w:r>
        <w:rPr>
          <w:i/>
        </w:rPr>
        <w:t>that</w:t>
      </w:r>
      <w:r>
        <w:rPr>
          <w:i/>
          <w:spacing w:val="-11"/>
        </w:rPr>
        <w:t xml:space="preserve"> </w:t>
      </w:r>
      <w:r>
        <w:rPr>
          <w:i/>
        </w:rPr>
        <w:t>PED</w:t>
      </w:r>
      <w:r>
        <w:rPr>
          <w:i/>
          <w:spacing w:val="-11"/>
        </w:rPr>
        <w:t xml:space="preserve"> </w:t>
      </w:r>
      <w:r>
        <w:rPr>
          <w:i/>
        </w:rPr>
        <w:t>is</w:t>
      </w:r>
      <w:r>
        <w:rPr>
          <w:i/>
          <w:spacing w:val="-11"/>
        </w:rPr>
        <w:t xml:space="preserve"> </w:t>
      </w:r>
      <w:r>
        <w:rPr>
          <w:i/>
        </w:rPr>
        <w:t>highly</w:t>
      </w:r>
      <w:r>
        <w:rPr>
          <w:i/>
          <w:spacing w:val="-12"/>
        </w:rPr>
        <w:t xml:space="preserve"> </w:t>
      </w:r>
      <w:r>
        <w:rPr>
          <w:i/>
        </w:rPr>
        <w:t>inelastic</w:t>
      </w:r>
      <w:r>
        <w:rPr>
          <w:i/>
          <w:spacing w:val="-11"/>
        </w:rPr>
        <w:t xml:space="preserve"> </w:t>
      </w:r>
      <w:r>
        <w:rPr>
          <w:i/>
        </w:rPr>
        <w:t>(from</w:t>
      </w:r>
      <w:r>
        <w:rPr>
          <w:i/>
          <w:spacing w:val="-13"/>
        </w:rPr>
        <w:t xml:space="preserve"> </w:t>
      </w:r>
      <w:r>
        <w:rPr>
          <w:i/>
        </w:rPr>
        <w:t>a(ii)).</w:t>
      </w:r>
      <w:r>
        <w:rPr>
          <w:i/>
          <w:spacing w:val="-11"/>
        </w:rPr>
        <w:t xml:space="preserve"> </w:t>
      </w:r>
      <w:r>
        <w:rPr>
          <w:i/>
        </w:rPr>
        <w:t>Extract</w:t>
      </w:r>
      <w:r>
        <w:rPr>
          <w:i/>
          <w:spacing w:val="-11"/>
        </w:rPr>
        <w:t xml:space="preserve"> </w:t>
      </w:r>
      <w:r>
        <w:rPr>
          <w:i/>
        </w:rPr>
        <w:t>2</w:t>
      </w:r>
      <w:r>
        <w:rPr>
          <w:i/>
          <w:spacing w:val="-11"/>
        </w:rPr>
        <w:t xml:space="preserve"> </w:t>
      </w:r>
      <w:r>
        <w:rPr>
          <w:i/>
        </w:rPr>
        <w:t>concludes</w:t>
      </w:r>
      <w:r>
        <w:rPr>
          <w:i/>
          <w:spacing w:val="-11"/>
        </w:rPr>
        <w:t xml:space="preserve"> </w:t>
      </w:r>
      <w:r>
        <w:rPr>
          <w:i/>
        </w:rPr>
        <w:t>that</w:t>
      </w:r>
      <w:r>
        <w:rPr>
          <w:i/>
          <w:spacing w:val="-12"/>
        </w:rPr>
        <w:t xml:space="preserve"> </w:t>
      </w:r>
      <w:r>
        <w:rPr>
          <w:i/>
        </w:rPr>
        <w:t>“the amount spent on gambling has been rising rapidly”, “even as the betting charges (prices) are</w:t>
      </w:r>
      <w:r>
        <w:rPr>
          <w:i/>
          <w:spacing w:val="-15"/>
        </w:rPr>
        <w:t xml:space="preserve"> </w:t>
      </w:r>
      <w:r>
        <w:rPr>
          <w:i/>
        </w:rPr>
        <w:t>rising.”</w:t>
      </w:r>
      <w:r>
        <w:rPr>
          <w:i/>
          <w:spacing w:val="-17"/>
        </w:rPr>
        <w:t xml:space="preserve"> </w:t>
      </w:r>
      <w:r>
        <w:rPr>
          <w:i/>
        </w:rPr>
        <w:t>Given</w:t>
      </w:r>
      <w:r>
        <w:rPr>
          <w:i/>
          <w:spacing w:val="-15"/>
        </w:rPr>
        <w:t xml:space="preserve"> </w:t>
      </w:r>
      <w:r>
        <w:rPr>
          <w:i/>
        </w:rPr>
        <w:t>the</w:t>
      </w:r>
      <w:r>
        <w:rPr>
          <w:i/>
          <w:spacing w:val="-15"/>
        </w:rPr>
        <w:t xml:space="preserve"> </w:t>
      </w:r>
      <w:r>
        <w:rPr>
          <w:i/>
        </w:rPr>
        <w:t>elasticity</w:t>
      </w:r>
      <w:r>
        <w:rPr>
          <w:i/>
          <w:spacing w:val="-14"/>
        </w:rPr>
        <w:t xml:space="preserve"> </w:t>
      </w:r>
      <w:r>
        <w:rPr>
          <w:i/>
        </w:rPr>
        <w:t>we</w:t>
      </w:r>
      <w:r>
        <w:rPr>
          <w:i/>
          <w:spacing w:val="-15"/>
        </w:rPr>
        <w:t xml:space="preserve"> </w:t>
      </w:r>
      <w:r>
        <w:rPr>
          <w:i/>
        </w:rPr>
        <w:t>expect</w:t>
      </w:r>
      <w:r>
        <w:rPr>
          <w:i/>
          <w:spacing w:val="-14"/>
        </w:rPr>
        <w:t xml:space="preserve"> </w:t>
      </w:r>
      <w:r>
        <w:rPr>
          <w:i/>
        </w:rPr>
        <w:t>a</w:t>
      </w:r>
      <w:r>
        <w:rPr>
          <w:i/>
          <w:spacing w:val="-16"/>
        </w:rPr>
        <w:t xml:space="preserve"> </w:t>
      </w:r>
      <w:r>
        <w:rPr>
          <w:i/>
        </w:rPr>
        <w:t>less</w:t>
      </w:r>
      <w:r>
        <w:rPr>
          <w:i/>
          <w:spacing w:val="-16"/>
        </w:rPr>
        <w:t xml:space="preserve"> </w:t>
      </w:r>
      <w:r>
        <w:rPr>
          <w:i/>
        </w:rPr>
        <w:t>than</w:t>
      </w:r>
      <w:r>
        <w:rPr>
          <w:i/>
          <w:spacing w:val="-15"/>
        </w:rPr>
        <w:t xml:space="preserve"> </w:t>
      </w:r>
      <w:r>
        <w:rPr>
          <w:i/>
        </w:rPr>
        <w:t>proportionate</w:t>
      </w:r>
      <w:r>
        <w:rPr>
          <w:i/>
          <w:spacing w:val="-14"/>
        </w:rPr>
        <w:t xml:space="preserve"> </w:t>
      </w:r>
      <w:r>
        <w:rPr>
          <w:i/>
        </w:rPr>
        <w:t>fall</w:t>
      </w:r>
      <w:r>
        <w:rPr>
          <w:i/>
          <w:spacing w:val="-16"/>
        </w:rPr>
        <w:t xml:space="preserve"> </w:t>
      </w:r>
      <w:r>
        <w:rPr>
          <w:i/>
        </w:rPr>
        <w:t>in</w:t>
      </w:r>
      <w:r>
        <w:rPr>
          <w:i/>
          <w:spacing w:val="-16"/>
        </w:rPr>
        <w:t xml:space="preserve"> </w:t>
      </w:r>
      <w:r>
        <w:rPr>
          <w:i/>
        </w:rPr>
        <w:t>quantity</w:t>
      </w:r>
      <w:r>
        <w:rPr>
          <w:i/>
          <w:spacing w:val="-15"/>
        </w:rPr>
        <w:t xml:space="preserve"> </w:t>
      </w:r>
      <w:r>
        <w:rPr>
          <w:i/>
        </w:rPr>
        <w:t xml:space="preserve">demanded when prices rise. </w:t>
      </w:r>
      <w:r>
        <w:rPr>
          <w:b/>
          <w:i/>
        </w:rPr>
        <w:t xml:space="preserve">[1] </w:t>
      </w:r>
      <w:r>
        <w:rPr>
          <w:i/>
        </w:rPr>
        <w:t>In these circumstances, the household expenditure / total revenue of the firms (P X Q) will increase.</w:t>
      </w:r>
      <w:r>
        <w:rPr>
          <w:i/>
          <w:spacing w:val="-1"/>
        </w:rPr>
        <w:t xml:space="preserve"> </w:t>
      </w:r>
      <w:r>
        <w:rPr>
          <w:b/>
          <w:i/>
        </w:rPr>
        <w:t>[1]</w:t>
      </w:r>
    </w:p>
    <w:p w14:paraId="0F422BF2" w14:textId="77777777" w:rsidR="008869E9" w:rsidRDefault="008869E9" w:rsidP="008869E9">
      <w:pPr>
        <w:pStyle w:val="TableParagraph"/>
        <w:ind w:left="0"/>
        <w:rPr>
          <w:b/>
          <w:sz w:val="24"/>
        </w:rPr>
      </w:pPr>
    </w:p>
    <w:p w14:paraId="789C9543" w14:textId="77777777" w:rsidR="008869E9" w:rsidRDefault="008869E9" w:rsidP="008869E9">
      <w:pPr>
        <w:pStyle w:val="TableParagraph"/>
        <w:spacing w:before="5"/>
        <w:ind w:left="0"/>
        <w:rPr>
          <w:b/>
          <w:sz w:val="20"/>
        </w:rPr>
      </w:pPr>
    </w:p>
    <w:p w14:paraId="2A172DF1" w14:textId="77777777" w:rsidR="008869E9" w:rsidRDefault="008869E9" w:rsidP="008869E9">
      <w:pPr>
        <w:pStyle w:val="TableParagraph"/>
        <w:rPr>
          <w:b/>
          <w:i/>
        </w:rPr>
      </w:pPr>
      <w:r>
        <w:rPr>
          <w:i/>
        </w:rPr>
        <w:t xml:space="preserve">Diagram and reference to diagram (see below). </w:t>
      </w:r>
      <w:r>
        <w:rPr>
          <w:b/>
          <w:i/>
        </w:rPr>
        <w:t>[2]</w:t>
      </w:r>
    </w:p>
    <w:p w14:paraId="564A411A" w14:textId="77777777" w:rsidR="008869E9" w:rsidRDefault="008869E9" w:rsidP="008869E9">
      <w:pPr>
        <w:pStyle w:val="TableParagraph"/>
        <w:spacing w:before="5"/>
        <w:ind w:left="0"/>
        <w:rPr>
          <w:b/>
          <w:sz w:val="19"/>
        </w:rPr>
      </w:pPr>
    </w:p>
    <w:p w14:paraId="79B07861" w14:textId="77777777" w:rsidR="008869E9" w:rsidRDefault="008869E9" w:rsidP="008869E9">
      <w:pPr>
        <w:pStyle w:val="TableParagraph"/>
        <w:ind w:left="201"/>
        <w:rPr>
          <w:sz w:val="20"/>
        </w:rPr>
      </w:pPr>
      <w:r>
        <w:rPr>
          <w:noProof/>
          <w:sz w:val="20"/>
        </w:rPr>
        <w:drawing>
          <wp:inline distT="0" distB="0" distL="0" distR="0" wp14:anchorId="53ED9F82" wp14:editId="5E0D19DD">
            <wp:extent cx="1999488" cy="16946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9488" cy="1694688"/>
                    </a:xfrm>
                    <a:prstGeom prst="rect">
                      <a:avLst/>
                    </a:prstGeom>
                  </pic:spPr>
                </pic:pic>
              </a:graphicData>
            </a:graphic>
          </wp:inline>
        </w:drawing>
      </w:r>
    </w:p>
    <w:p w14:paraId="02071DB3" w14:textId="77777777" w:rsidR="008869E9" w:rsidRDefault="008869E9" w:rsidP="008869E9">
      <w:pPr>
        <w:pStyle w:val="TableParagraph"/>
        <w:spacing w:before="3"/>
        <w:ind w:left="0"/>
        <w:rPr>
          <w:b/>
          <w:sz w:val="19"/>
        </w:rPr>
      </w:pPr>
    </w:p>
    <w:p w14:paraId="660B0443" w14:textId="77777777" w:rsidR="008869E9" w:rsidRDefault="008869E9" w:rsidP="008869E9">
      <w:pPr>
        <w:pStyle w:val="TableParagraph"/>
        <w:ind w:right="564"/>
        <w:rPr>
          <w:i/>
        </w:rPr>
      </w:pPr>
      <w:r>
        <w:rPr>
          <w:i/>
          <w:color w:val="111111"/>
        </w:rPr>
        <w:t>With reference to the diagram above, the increase in betting charges from P0 to P1 caused a less than proportionate decrease in quantity demanded from Q0 to Q1. This caused the total expenditure on betting to increase from P0 X Q0 to P1 X Q1.</w:t>
      </w:r>
    </w:p>
    <w:p w14:paraId="4FAF6CF0" w14:textId="77777777" w:rsidR="008869E9" w:rsidRDefault="008869E9" w:rsidP="008869E9">
      <w:pPr>
        <w:pStyle w:val="TableParagraph"/>
        <w:ind w:left="0"/>
        <w:rPr>
          <w:b/>
          <w:sz w:val="24"/>
        </w:rPr>
      </w:pPr>
    </w:p>
    <w:p w14:paraId="17F30191" w14:textId="77777777" w:rsidR="003F64DF" w:rsidRDefault="003F64DF" w:rsidP="00DB7333">
      <w:pPr>
        <w:pStyle w:val="TableParagraph"/>
        <w:spacing w:before="216"/>
        <w:rPr>
          <w:u w:val="single"/>
        </w:rPr>
      </w:pPr>
    </w:p>
    <w:p w14:paraId="608FCB00" w14:textId="77777777" w:rsidR="00DB7333" w:rsidRDefault="00DB7333" w:rsidP="00DB7333">
      <w:pPr>
        <w:pStyle w:val="TableParagraph"/>
        <w:spacing w:before="216"/>
        <w:rPr>
          <w:u w:val="single"/>
        </w:rPr>
      </w:pPr>
    </w:p>
    <w:p w14:paraId="076BA91A" w14:textId="77777777" w:rsidR="008869E9" w:rsidRDefault="008869E9" w:rsidP="008869E9">
      <w:pPr>
        <w:pStyle w:val="TableParagraph"/>
        <w:ind w:left="0"/>
        <w:rPr>
          <w:rFonts w:ascii="Times New Roman"/>
          <w:sz w:val="20"/>
        </w:rPr>
      </w:pPr>
    </w:p>
    <w:p w14:paraId="484305B7" w14:textId="77777777" w:rsidR="008869E9" w:rsidRDefault="008869E9" w:rsidP="008869E9">
      <w:pPr>
        <w:pStyle w:val="TableParagraph"/>
        <w:spacing w:before="120"/>
        <w:ind w:left="0" w:right="124"/>
        <w:rPr>
          <w:b/>
        </w:rPr>
      </w:pPr>
      <w:r>
        <w:rPr>
          <w:b/>
          <w:color w:val="111111"/>
        </w:rPr>
        <w:t>(b)</w:t>
      </w:r>
      <w:r>
        <w:rPr>
          <w:b/>
        </w:rPr>
        <w:t xml:space="preserve">, </w:t>
      </w:r>
      <w:r>
        <w:rPr>
          <w:b/>
          <w:color w:val="111111"/>
        </w:rPr>
        <w:t>Compare the trends between the non-remote and remote gambling revenues in the UK from April 2011 to March 2017.</w:t>
      </w:r>
      <w:r>
        <w:rPr>
          <w:b/>
        </w:rPr>
        <w:t xml:space="preserve">, </w:t>
      </w:r>
      <w:r>
        <w:rPr>
          <w:b/>
          <w:color w:val="111111"/>
          <w:w w:val="95"/>
        </w:rPr>
        <w:t>[2]</w:t>
      </w:r>
    </w:p>
    <w:p w14:paraId="4E3F0AF5" w14:textId="77777777" w:rsidR="008869E9" w:rsidRDefault="008869E9" w:rsidP="008869E9">
      <w:pPr>
        <w:pStyle w:val="TableParagraph"/>
        <w:spacing w:before="120"/>
        <w:rPr>
          <w:b/>
          <w:i/>
        </w:rPr>
      </w:pPr>
      <w:r>
        <w:rPr>
          <w:i/>
        </w:rPr>
        <w:t xml:space="preserve">Comparing general trend: Both trends increased. </w:t>
      </w:r>
      <w:r>
        <w:rPr>
          <w:b/>
          <w:i/>
        </w:rPr>
        <w:t>[1]</w:t>
      </w:r>
    </w:p>
    <w:p w14:paraId="63942BCC" w14:textId="77777777" w:rsidR="008869E9" w:rsidRDefault="008869E9" w:rsidP="008869E9">
      <w:pPr>
        <w:pStyle w:val="TableParagraph"/>
        <w:spacing w:before="140"/>
        <w:ind w:right="613"/>
        <w:rPr>
          <w:b/>
          <w:i/>
        </w:rPr>
      </w:pPr>
      <w:r>
        <w:rPr>
          <w:i/>
        </w:rPr>
        <w:t xml:space="preserve">Comparing other aspects: Remote gambling increased at a faster rate </w:t>
      </w:r>
      <w:r>
        <w:rPr>
          <w:b/>
          <w:i/>
        </w:rPr>
        <w:t xml:space="preserve">or </w:t>
      </w:r>
      <w:r>
        <w:rPr>
          <w:i/>
        </w:rPr>
        <w:t xml:space="preserve">non-remote gambling was always higher. </w:t>
      </w:r>
      <w:r>
        <w:rPr>
          <w:b/>
          <w:i/>
        </w:rPr>
        <w:t>[1]</w:t>
      </w:r>
    </w:p>
    <w:p w14:paraId="4661264C" w14:textId="77777777" w:rsidR="008869E9" w:rsidRDefault="008869E9" w:rsidP="008869E9">
      <w:pPr>
        <w:pStyle w:val="TableParagraph"/>
        <w:ind w:left="0"/>
        <w:rPr>
          <w:b/>
          <w:sz w:val="24"/>
        </w:rPr>
      </w:pPr>
    </w:p>
    <w:p w14:paraId="18070EBF" w14:textId="77777777" w:rsidR="008869E9" w:rsidRDefault="008869E9" w:rsidP="008869E9">
      <w:pPr>
        <w:pStyle w:val="TableParagraph"/>
        <w:spacing w:before="215"/>
      </w:pPr>
      <w:r>
        <w:rPr>
          <w:u w:val="single"/>
        </w:rPr>
        <w:t>Markers’ Comment</w:t>
      </w:r>
    </w:p>
    <w:p w14:paraId="61CD86C2" w14:textId="77777777" w:rsidR="008869E9" w:rsidRDefault="008869E9" w:rsidP="008869E9">
      <w:pPr>
        <w:pStyle w:val="TableParagraph"/>
        <w:spacing w:before="120"/>
        <w:ind w:left="0" w:right="124"/>
        <w:rPr>
          <w:b/>
        </w:rPr>
      </w:pPr>
      <w:r>
        <w:rPr>
          <w:b/>
          <w:color w:val="111111"/>
        </w:rPr>
        <w:t>(c)</w:t>
      </w:r>
      <w:r>
        <w:rPr>
          <w:b/>
        </w:rPr>
        <w:t xml:space="preserve">, </w:t>
      </w:r>
      <w:r>
        <w:rPr>
          <w:b/>
          <w:color w:val="111111"/>
        </w:rPr>
        <w:t>With reference to Extracts 2 and 3, account for the growth of the gambling industry in the UK and comment whether the change in supply is likely to be more important than the change in demand in explaining the growth.</w:t>
      </w:r>
      <w:r>
        <w:rPr>
          <w:b/>
        </w:rPr>
        <w:t xml:space="preserve">, </w:t>
      </w:r>
      <w:r>
        <w:rPr>
          <w:b/>
          <w:color w:val="111111"/>
          <w:w w:val="95"/>
        </w:rPr>
        <w:t>[7]</w:t>
      </w:r>
    </w:p>
    <w:p w14:paraId="24B7A45C" w14:textId="77777777" w:rsidR="008869E9" w:rsidRDefault="008869E9" w:rsidP="008869E9">
      <w:pPr>
        <w:pStyle w:val="TableParagraph"/>
        <w:spacing w:before="120"/>
        <w:jc w:val="both"/>
        <w:rPr>
          <w:b/>
          <w:i/>
        </w:rPr>
      </w:pPr>
      <w:r>
        <w:rPr>
          <w:i/>
        </w:rPr>
        <w:t xml:space="preserve">Explain </w:t>
      </w:r>
      <w:r>
        <w:rPr>
          <w:b/>
          <w:i/>
        </w:rPr>
        <w:t>[4m]</w:t>
      </w:r>
    </w:p>
    <w:p w14:paraId="342915C5" w14:textId="77777777" w:rsidR="008869E9" w:rsidRDefault="008869E9" w:rsidP="008869E9">
      <w:pPr>
        <w:pStyle w:val="TableParagraph"/>
        <w:spacing w:before="139" w:line="259" w:lineRule="auto"/>
        <w:ind w:right="96"/>
        <w:jc w:val="both"/>
        <w:rPr>
          <w:i/>
        </w:rPr>
      </w:pPr>
      <w:r>
        <w:rPr>
          <w:b/>
          <w:i/>
        </w:rPr>
        <w:t xml:space="preserve">DD factor </w:t>
      </w:r>
      <w:r>
        <w:rPr>
          <w:i/>
        </w:rPr>
        <w:t xml:space="preserve">- ↑ in no. of consumers → more people are text-savvy and comfortable going online        →        DD        increases        →         DD         shifts         right;         </w:t>
      </w:r>
      <w:r>
        <w:rPr>
          <w:b/>
          <w:i/>
        </w:rPr>
        <w:t xml:space="preserve">or  </w:t>
      </w:r>
      <w:r>
        <w:rPr>
          <w:i/>
        </w:rPr>
        <w:t>change in taste &amp; preferences due to successful advertising → DD increases → DD shifts right.</w:t>
      </w:r>
    </w:p>
    <w:p w14:paraId="2734F0D2" w14:textId="77777777" w:rsidR="008869E9" w:rsidRDefault="008869E9" w:rsidP="008869E9">
      <w:pPr>
        <w:pStyle w:val="TableParagraph"/>
        <w:spacing w:before="119" w:line="259" w:lineRule="auto"/>
        <w:ind w:right="98"/>
        <w:jc w:val="both"/>
        <w:rPr>
          <w:i/>
        </w:rPr>
      </w:pPr>
      <w:r>
        <w:rPr>
          <w:b/>
          <w:i/>
        </w:rPr>
        <w:t xml:space="preserve">SS factor </w:t>
      </w:r>
      <w:r>
        <w:rPr>
          <w:i/>
        </w:rPr>
        <w:t>- more betting machines, casinos, use of technology to develop mobile gaming apps to allow online access → SS increases → SS shifts right.</w:t>
      </w:r>
    </w:p>
    <w:p w14:paraId="3507825B" w14:textId="77777777" w:rsidR="008869E9" w:rsidRDefault="008869E9" w:rsidP="008869E9">
      <w:pPr>
        <w:pStyle w:val="TableParagraph"/>
        <w:spacing w:before="121"/>
        <w:jc w:val="both"/>
        <w:rPr>
          <w:i/>
        </w:rPr>
      </w:pPr>
      <w:r>
        <w:rPr>
          <w:i/>
        </w:rPr>
        <w:t>[</w:t>
      </w:r>
      <w:r>
        <w:rPr>
          <w:b/>
          <w:i/>
        </w:rPr>
        <w:t xml:space="preserve">2 </w:t>
      </w:r>
      <w:r>
        <w:rPr>
          <w:i/>
        </w:rPr>
        <w:t>marks for each DD &amp; SS factor]</w:t>
      </w:r>
    </w:p>
    <w:p w14:paraId="7C209D45" w14:textId="77777777" w:rsidR="008869E9" w:rsidRDefault="008869E9" w:rsidP="008869E9">
      <w:pPr>
        <w:pStyle w:val="TableParagraph"/>
        <w:ind w:left="0"/>
        <w:rPr>
          <w:b/>
          <w:sz w:val="24"/>
        </w:rPr>
      </w:pPr>
    </w:p>
    <w:p w14:paraId="0A3E5376" w14:textId="77777777" w:rsidR="008869E9" w:rsidRDefault="008869E9" w:rsidP="008869E9">
      <w:pPr>
        <w:pStyle w:val="TableParagraph"/>
        <w:spacing w:before="4"/>
        <w:ind w:left="0"/>
        <w:rPr>
          <w:b/>
        </w:rPr>
      </w:pPr>
    </w:p>
    <w:p w14:paraId="14147EDB" w14:textId="77777777" w:rsidR="008869E9" w:rsidRDefault="008869E9" w:rsidP="008869E9">
      <w:pPr>
        <w:pStyle w:val="TableParagraph"/>
        <w:jc w:val="both"/>
        <w:rPr>
          <w:i/>
        </w:rPr>
      </w:pPr>
      <w:r>
        <w:rPr>
          <w:i/>
          <w:color w:val="111111"/>
        </w:rPr>
        <w:t xml:space="preserve">Comment </w:t>
      </w:r>
      <w:r>
        <w:rPr>
          <w:b/>
          <w:i/>
          <w:color w:val="111111"/>
        </w:rPr>
        <w:t>[3m]</w:t>
      </w:r>
      <w:r>
        <w:rPr>
          <w:i/>
          <w:color w:val="111111"/>
        </w:rPr>
        <w:t>:</w:t>
      </w:r>
    </w:p>
    <w:p w14:paraId="715358BE" w14:textId="77777777" w:rsidR="008869E9" w:rsidRDefault="008869E9" w:rsidP="008869E9">
      <w:pPr>
        <w:pStyle w:val="TableParagraph"/>
        <w:spacing w:before="139" w:line="259" w:lineRule="auto"/>
        <w:ind w:right="96"/>
        <w:jc w:val="both"/>
        <w:rPr>
          <w:i/>
        </w:rPr>
      </w:pPr>
      <w:r>
        <w:rPr>
          <w:i/>
          <w:color w:val="111111"/>
        </w:rPr>
        <w:t>Students should make a judgement on whether demand or supply shifts more. While both demand and supply have been rising, from the extracts we may conclude that the demand factor may be stronger due to the highly addictive nature of gambling and the aggressive advertising expenditure committed by the industry.</w:t>
      </w:r>
    </w:p>
    <w:p w14:paraId="25807247" w14:textId="77777777" w:rsidR="008869E9" w:rsidRDefault="008869E9" w:rsidP="008869E9">
      <w:pPr>
        <w:pStyle w:val="TableParagraph"/>
        <w:ind w:left="0"/>
        <w:rPr>
          <w:b/>
          <w:sz w:val="24"/>
        </w:rPr>
      </w:pPr>
    </w:p>
    <w:p w14:paraId="4BACCE02" w14:textId="77777777" w:rsidR="008869E9" w:rsidRDefault="008869E9" w:rsidP="008869E9">
      <w:pPr>
        <w:pStyle w:val="TableParagraph"/>
        <w:spacing w:before="6"/>
        <w:ind w:left="0"/>
        <w:rPr>
          <w:b/>
          <w:sz w:val="20"/>
        </w:rPr>
      </w:pPr>
    </w:p>
    <w:p w14:paraId="3F67EFC1" w14:textId="77777777" w:rsidR="008869E9" w:rsidRDefault="008869E9" w:rsidP="008869E9">
      <w:pPr>
        <w:pStyle w:val="TableParagraph"/>
        <w:ind w:right="381"/>
        <w:rPr>
          <w:i/>
        </w:rPr>
      </w:pPr>
      <w:r>
        <w:rPr>
          <w:i/>
          <w:color w:val="111111"/>
        </w:rPr>
        <w:t>On the other hand, extract 2 suggests that there may be limits to growth as the remote segment becomes saturated. Also, gambling remains a regulated industry. These could have a limiting effect on supply. Take a stand.</w:t>
      </w:r>
    </w:p>
    <w:p w14:paraId="11658E77" w14:textId="77777777" w:rsidR="008869E9" w:rsidRDefault="008869E9" w:rsidP="008869E9">
      <w:pPr>
        <w:pStyle w:val="TableParagraph"/>
        <w:ind w:left="0"/>
        <w:rPr>
          <w:b/>
          <w:sz w:val="24"/>
        </w:rPr>
      </w:pPr>
    </w:p>
    <w:p w14:paraId="00172C6C" w14:textId="77777777" w:rsidR="008869E9" w:rsidRDefault="008869E9" w:rsidP="008869E9">
      <w:pPr>
        <w:pStyle w:val="TableParagraph"/>
        <w:spacing w:before="9"/>
        <w:ind w:left="0"/>
        <w:rPr>
          <w:b/>
          <w:sz w:val="18"/>
        </w:rPr>
      </w:pPr>
    </w:p>
    <w:p w14:paraId="140FDFC3" w14:textId="77777777" w:rsidR="008869E9" w:rsidRDefault="008869E9" w:rsidP="00DB7333">
      <w:pPr>
        <w:pStyle w:val="TableParagraph"/>
        <w:spacing w:before="1"/>
        <w:ind w:left="0"/>
        <w:rPr>
          <w:b/>
          <w:sz w:val="20"/>
        </w:rPr>
      </w:pPr>
    </w:p>
    <w:p w14:paraId="4007FBFB" w14:textId="77777777" w:rsidR="008869E9" w:rsidRDefault="008869E9" w:rsidP="008869E9">
      <w:pPr>
        <w:pStyle w:val="TableParagraph"/>
        <w:spacing w:before="120"/>
        <w:ind w:left="0" w:right="124"/>
        <w:rPr>
          <w:b/>
        </w:rPr>
      </w:pPr>
      <w:r>
        <w:rPr>
          <w:b/>
          <w:color w:val="111111"/>
        </w:rPr>
        <w:t>(d)</w:t>
      </w:r>
      <w:r>
        <w:rPr>
          <w:b/>
        </w:rPr>
        <w:t xml:space="preserve">, </w:t>
      </w:r>
      <w:r>
        <w:rPr>
          <w:b/>
          <w:color w:val="111111"/>
        </w:rPr>
        <w:t>Using the concept of price elasticity of supply and a diagram, explain how the economic recovery in Las Vegas caused housing prices to grow “by double digits.”</w:t>
      </w:r>
      <w:r>
        <w:rPr>
          <w:b/>
        </w:rPr>
        <w:t xml:space="preserve">, </w:t>
      </w:r>
      <w:r>
        <w:rPr>
          <w:b/>
          <w:color w:val="111111"/>
          <w:w w:val="95"/>
        </w:rPr>
        <w:t>[5]</w:t>
      </w:r>
    </w:p>
    <w:p w14:paraId="0D5A9FE7" w14:textId="77777777" w:rsidR="008869E9" w:rsidRDefault="008869E9" w:rsidP="008869E9">
      <w:pPr>
        <w:pStyle w:val="TableParagraph"/>
        <w:spacing w:before="120"/>
        <w:ind w:right="99"/>
        <w:jc w:val="both"/>
        <w:rPr>
          <w:b/>
          <w:i/>
        </w:rPr>
      </w:pPr>
      <w:r>
        <w:rPr>
          <w:i/>
          <w:color w:val="111111"/>
        </w:rPr>
        <w:t>An economic recovery in Las Vegas would suggest that income levels in that area is likely to</w:t>
      </w:r>
      <w:r>
        <w:rPr>
          <w:i/>
          <w:color w:val="111111"/>
          <w:spacing w:val="-12"/>
        </w:rPr>
        <w:t xml:space="preserve"> </w:t>
      </w:r>
      <w:r>
        <w:rPr>
          <w:i/>
          <w:color w:val="111111"/>
        </w:rPr>
        <w:t>increase</w:t>
      </w:r>
      <w:r>
        <w:rPr>
          <w:i/>
          <w:color w:val="111111"/>
          <w:spacing w:val="-14"/>
        </w:rPr>
        <w:t xml:space="preserve"> </w:t>
      </w:r>
      <w:r>
        <w:rPr>
          <w:i/>
          <w:color w:val="111111"/>
        </w:rPr>
        <w:t>due</w:t>
      </w:r>
      <w:r>
        <w:rPr>
          <w:i/>
          <w:color w:val="111111"/>
          <w:spacing w:val="-12"/>
        </w:rPr>
        <w:t xml:space="preserve"> </w:t>
      </w:r>
      <w:r>
        <w:rPr>
          <w:i/>
          <w:color w:val="111111"/>
        </w:rPr>
        <w:t>to</w:t>
      </w:r>
      <w:r>
        <w:rPr>
          <w:i/>
          <w:color w:val="111111"/>
          <w:spacing w:val="-12"/>
        </w:rPr>
        <w:t xml:space="preserve"> </w:t>
      </w:r>
      <w:r>
        <w:rPr>
          <w:i/>
          <w:color w:val="111111"/>
        </w:rPr>
        <w:t>greater</w:t>
      </w:r>
      <w:r>
        <w:rPr>
          <w:i/>
          <w:color w:val="111111"/>
          <w:spacing w:val="-12"/>
        </w:rPr>
        <w:t xml:space="preserve"> </w:t>
      </w:r>
      <w:r>
        <w:rPr>
          <w:i/>
          <w:color w:val="111111"/>
        </w:rPr>
        <w:t>economic</w:t>
      </w:r>
      <w:r>
        <w:rPr>
          <w:i/>
          <w:color w:val="111111"/>
          <w:spacing w:val="-11"/>
        </w:rPr>
        <w:t xml:space="preserve"> </w:t>
      </w:r>
      <w:r>
        <w:rPr>
          <w:i/>
          <w:color w:val="111111"/>
        </w:rPr>
        <w:t>activity.</w:t>
      </w:r>
      <w:r>
        <w:rPr>
          <w:i/>
          <w:color w:val="111111"/>
          <w:spacing w:val="-12"/>
        </w:rPr>
        <w:t xml:space="preserve"> </w:t>
      </w:r>
      <w:r>
        <w:rPr>
          <w:i/>
          <w:color w:val="111111"/>
        </w:rPr>
        <w:t>Given</w:t>
      </w:r>
      <w:r>
        <w:rPr>
          <w:i/>
          <w:color w:val="111111"/>
          <w:spacing w:val="-12"/>
        </w:rPr>
        <w:t xml:space="preserve"> </w:t>
      </w:r>
      <w:r>
        <w:rPr>
          <w:i/>
          <w:color w:val="111111"/>
        </w:rPr>
        <w:t>rising</w:t>
      </w:r>
      <w:r>
        <w:rPr>
          <w:i/>
          <w:color w:val="111111"/>
          <w:spacing w:val="-13"/>
        </w:rPr>
        <w:t xml:space="preserve"> </w:t>
      </w:r>
      <w:r>
        <w:rPr>
          <w:i/>
          <w:color w:val="111111"/>
        </w:rPr>
        <w:t>income,</w:t>
      </w:r>
      <w:r>
        <w:rPr>
          <w:i/>
          <w:color w:val="111111"/>
          <w:spacing w:val="-12"/>
        </w:rPr>
        <w:t xml:space="preserve"> </w:t>
      </w:r>
      <w:r>
        <w:rPr>
          <w:i/>
          <w:color w:val="111111"/>
        </w:rPr>
        <w:t>demand</w:t>
      </w:r>
      <w:r>
        <w:rPr>
          <w:i/>
          <w:color w:val="111111"/>
          <w:spacing w:val="-12"/>
        </w:rPr>
        <w:t xml:space="preserve"> </w:t>
      </w:r>
      <w:r>
        <w:rPr>
          <w:i/>
          <w:color w:val="111111"/>
        </w:rPr>
        <w:t>for</w:t>
      </w:r>
      <w:r>
        <w:rPr>
          <w:i/>
          <w:color w:val="111111"/>
          <w:spacing w:val="-12"/>
        </w:rPr>
        <w:t xml:space="preserve"> </w:t>
      </w:r>
      <w:r>
        <w:rPr>
          <w:i/>
          <w:color w:val="111111"/>
        </w:rPr>
        <w:t>normal</w:t>
      </w:r>
      <w:r>
        <w:rPr>
          <w:i/>
          <w:color w:val="111111"/>
          <w:spacing w:val="-10"/>
        </w:rPr>
        <w:t xml:space="preserve"> </w:t>
      </w:r>
      <w:r>
        <w:rPr>
          <w:i/>
          <w:color w:val="111111"/>
        </w:rPr>
        <w:t>goods such as housing will increase, shifting demand to the right.</w:t>
      </w:r>
      <w:r>
        <w:rPr>
          <w:i/>
          <w:color w:val="111111"/>
          <w:spacing w:val="-4"/>
        </w:rPr>
        <w:t xml:space="preserve"> </w:t>
      </w:r>
      <w:r>
        <w:rPr>
          <w:b/>
          <w:i/>
          <w:color w:val="111111"/>
        </w:rPr>
        <w:t>[1]</w:t>
      </w:r>
    </w:p>
    <w:p w14:paraId="68B50867" w14:textId="77777777" w:rsidR="008869E9" w:rsidRDefault="008869E9" w:rsidP="008869E9">
      <w:pPr>
        <w:pStyle w:val="TableParagraph"/>
        <w:spacing w:before="119"/>
        <w:ind w:right="96"/>
        <w:jc w:val="both"/>
        <w:rPr>
          <w:b/>
          <w:i/>
        </w:rPr>
      </w:pPr>
      <w:r>
        <w:rPr>
          <w:i/>
          <w:color w:val="111111"/>
        </w:rPr>
        <w:t>Extract 5 also provides evidence that “the number of housing units available for sale has fallen 30% over the past year.” This suggests quite clearly that the price elasticity of</w:t>
      </w:r>
      <w:r>
        <w:rPr>
          <w:i/>
          <w:color w:val="111111"/>
          <w:spacing w:val="-43"/>
        </w:rPr>
        <w:t xml:space="preserve"> </w:t>
      </w:r>
      <w:r>
        <w:rPr>
          <w:i/>
          <w:color w:val="111111"/>
        </w:rPr>
        <w:t>supply is highly inelastic (|PES| &lt; 1) due to low stocks.</w:t>
      </w:r>
      <w:r>
        <w:rPr>
          <w:i/>
          <w:color w:val="111111"/>
          <w:spacing w:val="-2"/>
        </w:rPr>
        <w:t xml:space="preserve"> </w:t>
      </w:r>
      <w:r>
        <w:rPr>
          <w:b/>
          <w:i/>
          <w:color w:val="111111"/>
        </w:rPr>
        <w:t>[1]</w:t>
      </w:r>
    </w:p>
    <w:p w14:paraId="04104D0F" w14:textId="77777777" w:rsidR="008869E9" w:rsidRDefault="008869E9" w:rsidP="008869E9">
      <w:pPr>
        <w:pStyle w:val="TableParagraph"/>
        <w:spacing w:before="121"/>
        <w:ind w:right="99"/>
        <w:jc w:val="both"/>
        <w:rPr>
          <w:b/>
          <w:i/>
        </w:rPr>
      </w:pPr>
      <w:r>
        <w:rPr>
          <w:i/>
          <w:color w:val="111111"/>
        </w:rPr>
        <w:t>With</w:t>
      </w:r>
      <w:r>
        <w:rPr>
          <w:i/>
          <w:color w:val="111111"/>
          <w:spacing w:val="-9"/>
        </w:rPr>
        <w:t xml:space="preserve"> </w:t>
      </w:r>
      <w:r>
        <w:rPr>
          <w:i/>
          <w:color w:val="111111"/>
        </w:rPr>
        <w:t>demand</w:t>
      </w:r>
      <w:r>
        <w:rPr>
          <w:i/>
          <w:color w:val="111111"/>
          <w:spacing w:val="-8"/>
        </w:rPr>
        <w:t xml:space="preserve"> </w:t>
      </w:r>
      <w:r>
        <w:rPr>
          <w:i/>
          <w:color w:val="111111"/>
        </w:rPr>
        <w:t>shifting</w:t>
      </w:r>
      <w:r>
        <w:rPr>
          <w:i/>
          <w:color w:val="111111"/>
          <w:spacing w:val="-9"/>
        </w:rPr>
        <w:t xml:space="preserve"> </w:t>
      </w:r>
      <w:r>
        <w:rPr>
          <w:i/>
          <w:color w:val="111111"/>
        </w:rPr>
        <w:t>to</w:t>
      </w:r>
      <w:r>
        <w:rPr>
          <w:i/>
          <w:color w:val="111111"/>
          <w:spacing w:val="-8"/>
        </w:rPr>
        <w:t xml:space="preserve"> </w:t>
      </w:r>
      <w:r>
        <w:rPr>
          <w:i/>
          <w:color w:val="111111"/>
        </w:rPr>
        <w:t>the</w:t>
      </w:r>
      <w:r>
        <w:rPr>
          <w:i/>
          <w:color w:val="111111"/>
          <w:spacing w:val="-9"/>
        </w:rPr>
        <w:t xml:space="preserve"> </w:t>
      </w:r>
      <w:r>
        <w:rPr>
          <w:i/>
          <w:color w:val="111111"/>
        </w:rPr>
        <w:t>right,</w:t>
      </w:r>
      <w:r>
        <w:rPr>
          <w:i/>
          <w:color w:val="111111"/>
          <w:spacing w:val="-8"/>
        </w:rPr>
        <w:t xml:space="preserve"> </w:t>
      </w:r>
      <w:r>
        <w:rPr>
          <w:i/>
          <w:color w:val="111111"/>
        </w:rPr>
        <w:t>because</w:t>
      </w:r>
      <w:r>
        <w:rPr>
          <w:i/>
          <w:color w:val="111111"/>
          <w:spacing w:val="-9"/>
        </w:rPr>
        <w:t xml:space="preserve"> </w:t>
      </w:r>
      <w:r>
        <w:rPr>
          <w:i/>
          <w:color w:val="111111"/>
        </w:rPr>
        <w:t>of</w:t>
      </w:r>
      <w:r>
        <w:rPr>
          <w:i/>
          <w:color w:val="111111"/>
          <w:spacing w:val="-8"/>
        </w:rPr>
        <w:t xml:space="preserve"> </w:t>
      </w:r>
      <w:r>
        <w:rPr>
          <w:i/>
          <w:color w:val="111111"/>
        </w:rPr>
        <w:t>the</w:t>
      </w:r>
      <w:r>
        <w:rPr>
          <w:i/>
          <w:color w:val="111111"/>
          <w:spacing w:val="-9"/>
        </w:rPr>
        <w:t xml:space="preserve"> </w:t>
      </w:r>
      <w:r>
        <w:rPr>
          <w:i/>
          <w:color w:val="111111"/>
        </w:rPr>
        <w:t>price</w:t>
      </w:r>
      <w:r>
        <w:rPr>
          <w:i/>
          <w:color w:val="111111"/>
          <w:spacing w:val="-8"/>
        </w:rPr>
        <w:t xml:space="preserve"> </w:t>
      </w:r>
      <w:r>
        <w:rPr>
          <w:i/>
          <w:color w:val="111111"/>
        </w:rPr>
        <w:t>inelastic</w:t>
      </w:r>
      <w:r>
        <w:rPr>
          <w:i/>
          <w:color w:val="111111"/>
          <w:spacing w:val="-9"/>
        </w:rPr>
        <w:t xml:space="preserve"> </w:t>
      </w:r>
      <w:r>
        <w:rPr>
          <w:i/>
          <w:color w:val="111111"/>
        </w:rPr>
        <w:t>supply,</w:t>
      </w:r>
      <w:r>
        <w:rPr>
          <w:i/>
          <w:color w:val="111111"/>
          <w:spacing w:val="-8"/>
        </w:rPr>
        <w:t xml:space="preserve"> </w:t>
      </w:r>
      <w:r>
        <w:rPr>
          <w:i/>
          <w:color w:val="111111"/>
        </w:rPr>
        <w:t>the</w:t>
      </w:r>
      <w:r>
        <w:rPr>
          <w:i/>
          <w:color w:val="111111"/>
          <w:spacing w:val="-10"/>
        </w:rPr>
        <w:t xml:space="preserve"> </w:t>
      </w:r>
      <w:r>
        <w:rPr>
          <w:i/>
          <w:color w:val="111111"/>
        </w:rPr>
        <w:t>increase</w:t>
      </w:r>
      <w:r>
        <w:rPr>
          <w:i/>
          <w:color w:val="111111"/>
          <w:spacing w:val="-8"/>
        </w:rPr>
        <w:t xml:space="preserve"> </w:t>
      </w:r>
      <w:r>
        <w:rPr>
          <w:i/>
          <w:color w:val="111111"/>
        </w:rPr>
        <w:t>in</w:t>
      </w:r>
      <w:r>
        <w:rPr>
          <w:i/>
          <w:color w:val="111111"/>
          <w:spacing w:val="-9"/>
        </w:rPr>
        <w:t xml:space="preserve"> </w:t>
      </w:r>
      <w:r>
        <w:rPr>
          <w:i/>
          <w:color w:val="111111"/>
        </w:rPr>
        <w:t>price is likely to be large (“double digits”).</w:t>
      </w:r>
      <w:r>
        <w:rPr>
          <w:i/>
          <w:color w:val="111111"/>
          <w:spacing w:val="-2"/>
        </w:rPr>
        <w:t xml:space="preserve"> </w:t>
      </w:r>
      <w:r>
        <w:rPr>
          <w:b/>
          <w:i/>
          <w:color w:val="111111"/>
        </w:rPr>
        <w:t>[1]</w:t>
      </w:r>
    </w:p>
    <w:p w14:paraId="0068F2AC" w14:textId="77777777" w:rsidR="008869E9" w:rsidRDefault="008869E9" w:rsidP="008869E9">
      <w:pPr>
        <w:pStyle w:val="TableParagraph"/>
        <w:spacing w:before="120"/>
        <w:jc w:val="both"/>
        <w:rPr>
          <w:b/>
          <w:i/>
        </w:rPr>
      </w:pPr>
      <w:r>
        <w:rPr>
          <w:i/>
        </w:rPr>
        <w:t xml:space="preserve">Diagram and reference to diagram (see below). </w:t>
      </w:r>
      <w:r>
        <w:rPr>
          <w:b/>
          <w:i/>
        </w:rPr>
        <w:t>[2]</w:t>
      </w:r>
    </w:p>
    <w:p w14:paraId="55326921" w14:textId="77777777" w:rsidR="008869E9" w:rsidRDefault="008869E9" w:rsidP="008869E9">
      <w:pPr>
        <w:pStyle w:val="TableParagraph"/>
        <w:spacing w:before="4"/>
        <w:ind w:left="0"/>
        <w:rPr>
          <w:b/>
          <w:sz w:val="19"/>
        </w:rPr>
      </w:pPr>
    </w:p>
    <w:p w14:paraId="09F7FD1F" w14:textId="77777777" w:rsidR="008869E9" w:rsidRDefault="008869E9" w:rsidP="008869E9">
      <w:pPr>
        <w:pStyle w:val="TableParagraph"/>
        <w:ind w:left="201"/>
        <w:rPr>
          <w:sz w:val="20"/>
        </w:rPr>
      </w:pPr>
      <w:r>
        <w:rPr>
          <w:noProof/>
          <w:sz w:val="20"/>
        </w:rPr>
        <w:drawing>
          <wp:inline distT="0" distB="0" distL="0" distR="0" wp14:anchorId="37A612BF" wp14:editId="7929EC98">
            <wp:extent cx="1999488" cy="16946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99488" cy="1694688"/>
                    </a:xfrm>
                    <a:prstGeom prst="rect">
                      <a:avLst/>
                    </a:prstGeom>
                  </pic:spPr>
                </pic:pic>
              </a:graphicData>
            </a:graphic>
          </wp:inline>
        </w:drawing>
      </w:r>
    </w:p>
    <w:p w14:paraId="09B63FDE" w14:textId="77777777" w:rsidR="008869E9" w:rsidRDefault="008869E9" w:rsidP="008869E9">
      <w:pPr>
        <w:pStyle w:val="TableParagraph"/>
        <w:spacing w:before="3"/>
        <w:ind w:left="0"/>
        <w:rPr>
          <w:b/>
          <w:sz w:val="19"/>
        </w:rPr>
      </w:pPr>
    </w:p>
    <w:p w14:paraId="2FBCE491" w14:textId="77777777" w:rsidR="008869E9" w:rsidRDefault="008869E9" w:rsidP="008869E9">
      <w:pPr>
        <w:pStyle w:val="TableParagraph"/>
        <w:ind w:right="258"/>
        <w:rPr>
          <w:i/>
        </w:rPr>
      </w:pPr>
      <w:r>
        <w:rPr>
          <w:i/>
          <w:color w:val="111111"/>
        </w:rPr>
        <w:t>With reference to the diagram above, the increase in demand for housing caused a large increase in the price of housing from P0 to P1.</w:t>
      </w:r>
    </w:p>
    <w:p w14:paraId="7C995C00" w14:textId="77777777" w:rsidR="008869E9" w:rsidRDefault="008869E9" w:rsidP="008869E9">
      <w:pPr>
        <w:pStyle w:val="TableParagraph"/>
        <w:ind w:left="0"/>
        <w:rPr>
          <w:b/>
          <w:sz w:val="24"/>
        </w:rPr>
      </w:pPr>
    </w:p>
    <w:p w14:paraId="226B5739" w14:textId="77777777" w:rsidR="008869E9" w:rsidRDefault="008869E9" w:rsidP="008869E9">
      <w:pPr>
        <w:pStyle w:val="TableParagraph"/>
        <w:spacing w:before="9"/>
        <w:ind w:left="0"/>
        <w:rPr>
          <w:b/>
          <w:sz w:val="18"/>
        </w:rPr>
      </w:pPr>
    </w:p>
    <w:p w14:paraId="0AFDFCDA" w14:textId="77777777" w:rsidR="008869E9" w:rsidRDefault="008869E9" w:rsidP="00DB7333">
      <w:pPr>
        <w:pStyle w:val="TableParagraph"/>
        <w:spacing w:before="1"/>
        <w:ind w:left="0"/>
      </w:pPr>
    </w:p>
    <w:sectPr w:rsidR="008869E9">
      <w:headerReference w:type="default" r:id="rId9"/>
      <w:footerReference w:type="default" r:id="rId10"/>
      <w:pgSz w:w="11910" w:h="16840"/>
      <w:pgMar w:top="960" w:right="1300" w:bottom="900" w:left="1280" w:header="753"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897E" w14:textId="77777777" w:rsidR="00DE4295" w:rsidRDefault="00DE4295">
      <w:r>
        <w:separator/>
      </w:r>
    </w:p>
  </w:endnote>
  <w:endnote w:type="continuationSeparator" w:id="0">
    <w:p w14:paraId="4F6B64D0" w14:textId="77777777" w:rsidR="00DE4295" w:rsidRDefault="00DE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F57A" w14:textId="77777777" w:rsidR="008869E9" w:rsidRDefault="008869E9" w:rsidP="008869E9">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10040C2" w14:textId="77777777" w:rsidR="008869E9" w:rsidRDefault="008869E9" w:rsidP="008869E9">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51C11AA2" w14:textId="77777777" w:rsidR="008869E9" w:rsidRPr="00A1157B" w:rsidRDefault="008869E9" w:rsidP="008869E9">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78278F9E" w14:textId="77777777" w:rsidR="008869E9" w:rsidRPr="00366349" w:rsidRDefault="008869E9" w:rsidP="008869E9">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20BD8747" w14:textId="77777777" w:rsidR="003F64DF" w:rsidRDefault="003F64DF">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AFC6" w14:textId="77777777" w:rsidR="00DE4295" w:rsidRDefault="00DE4295">
      <w:r>
        <w:separator/>
      </w:r>
    </w:p>
  </w:footnote>
  <w:footnote w:type="continuationSeparator" w:id="0">
    <w:p w14:paraId="44F55BDB" w14:textId="77777777" w:rsidR="00DE4295" w:rsidRDefault="00DE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364B210B" w14:textId="77777777" w:rsidR="008869E9" w:rsidRPr="005E0FEE" w:rsidRDefault="008869E9" w:rsidP="008869E9">
        <w:pPr>
          <w:pStyle w:val="Header"/>
          <w:pBdr>
            <w:bottom w:val="single" w:sz="4" w:space="1" w:color="D9D9D9" w:themeColor="background1" w:themeShade="D9"/>
          </w:pBdr>
          <w:rPr>
            <w:b/>
            <w:bCs/>
          </w:rPr>
        </w:pPr>
        <w:r w:rsidRPr="009B23EC">
          <w:rPr>
            <w:noProof/>
          </w:rPr>
          <w:drawing>
            <wp:inline distT="0" distB="0" distL="0" distR="0" wp14:anchorId="49CC33F7" wp14:editId="39F257E8">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1233C92" wp14:editId="5FD765FC">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7B3F72F1" w14:textId="77777777" w:rsidR="003F64DF" w:rsidRDefault="003F64D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10A2"/>
    <w:multiLevelType w:val="hybridMultilevel"/>
    <w:tmpl w:val="8832504C"/>
    <w:lvl w:ilvl="0" w:tplc="ED4E5C86">
      <w:start w:val="1"/>
      <w:numFmt w:val="lowerLetter"/>
      <w:lvlText w:val="(%1)"/>
      <w:lvlJc w:val="left"/>
      <w:pPr>
        <w:ind w:left="727" w:hanging="568"/>
        <w:jc w:val="left"/>
      </w:pPr>
      <w:rPr>
        <w:rFonts w:ascii="Arial" w:eastAsia="Arial" w:hAnsi="Arial" w:cs="Arial" w:hint="default"/>
        <w:w w:val="99"/>
        <w:sz w:val="22"/>
        <w:szCs w:val="22"/>
        <w:lang w:val="en-US" w:eastAsia="en-US" w:bidi="en-US"/>
      </w:rPr>
    </w:lvl>
    <w:lvl w:ilvl="1" w:tplc="09D0CDDE">
      <w:start w:val="1"/>
      <w:numFmt w:val="lowerRoman"/>
      <w:lvlText w:val="(%2)"/>
      <w:lvlJc w:val="left"/>
      <w:pPr>
        <w:ind w:left="1152" w:hanging="423"/>
        <w:jc w:val="left"/>
      </w:pPr>
      <w:rPr>
        <w:rFonts w:ascii="Arial" w:eastAsia="Arial" w:hAnsi="Arial" w:cs="Arial" w:hint="default"/>
        <w:w w:val="99"/>
        <w:sz w:val="22"/>
        <w:szCs w:val="22"/>
        <w:lang w:val="en-US" w:eastAsia="en-US" w:bidi="en-US"/>
      </w:rPr>
    </w:lvl>
    <w:lvl w:ilvl="2" w:tplc="5B867550">
      <w:numFmt w:val="bullet"/>
      <w:lvlText w:val="•"/>
      <w:lvlJc w:val="left"/>
      <w:pPr>
        <w:ind w:left="2067" w:hanging="423"/>
      </w:pPr>
      <w:rPr>
        <w:rFonts w:hint="default"/>
        <w:lang w:val="en-US" w:eastAsia="en-US" w:bidi="en-US"/>
      </w:rPr>
    </w:lvl>
    <w:lvl w:ilvl="3" w:tplc="F530E4A0">
      <w:numFmt w:val="bullet"/>
      <w:lvlText w:val="•"/>
      <w:lvlJc w:val="left"/>
      <w:pPr>
        <w:ind w:left="2974" w:hanging="423"/>
      </w:pPr>
      <w:rPr>
        <w:rFonts w:hint="default"/>
        <w:lang w:val="en-US" w:eastAsia="en-US" w:bidi="en-US"/>
      </w:rPr>
    </w:lvl>
    <w:lvl w:ilvl="4" w:tplc="6CBE3072">
      <w:numFmt w:val="bullet"/>
      <w:lvlText w:val="•"/>
      <w:lvlJc w:val="left"/>
      <w:pPr>
        <w:ind w:left="3881" w:hanging="423"/>
      </w:pPr>
      <w:rPr>
        <w:rFonts w:hint="default"/>
        <w:lang w:val="en-US" w:eastAsia="en-US" w:bidi="en-US"/>
      </w:rPr>
    </w:lvl>
    <w:lvl w:ilvl="5" w:tplc="16AE851C">
      <w:numFmt w:val="bullet"/>
      <w:lvlText w:val="•"/>
      <w:lvlJc w:val="left"/>
      <w:pPr>
        <w:ind w:left="4788" w:hanging="423"/>
      </w:pPr>
      <w:rPr>
        <w:rFonts w:hint="default"/>
        <w:lang w:val="en-US" w:eastAsia="en-US" w:bidi="en-US"/>
      </w:rPr>
    </w:lvl>
    <w:lvl w:ilvl="6" w:tplc="15F8336A">
      <w:numFmt w:val="bullet"/>
      <w:lvlText w:val="•"/>
      <w:lvlJc w:val="left"/>
      <w:pPr>
        <w:ind w:left="5695" w:hanging="423"/>
      </w:pPr>
      <w:rPr>
        <w:rFonts w:hint="default"/>
        <w:lang w:val="en-US" w:eastAsia="en-US" w:bidi="en-US"/>
      </w:rPr>
    </w:lvl>
    <w:lvl w:ilvl="7" w:tplc="E676FEAA">
      <w:numFmt w:val="bullet"/>
      <w:lvlText w:val="•"/>
      <w:lvlJc w:val="left"/>
      <w:pPr>
        <w:ind w:left="6602" w:hanging="423"/>
      </w:pPr>
      <w:rPr>
        <w:rFonts w:hint="default"/>
        <w:lang w:val="en-US" w:eastAsia="en-US" w:bidi="en-US"/>
      </w:rPr>
    </w:lvl>
    <w:lvl w:ilvl="8" w:tplc="6C4ABCE6">
      <w:numFmt w:val="bullet"/>
      <w:lvlText w:val="•"/>
      <w:lvlJc w:val="left"/>
      <w:pPr>
        <w:ind w:left="7510" w:hanging="423"/>
      </w:pPr>
      <w:rPr>
        <w:rFonts w:hint="default"/>
        <w:lang w:val="en-US" w:eastAsia="en-US" w:bidi="en-US"/>
      </w:rPr>
    </w:lvl>
  </w:abstractNum>
  <w:abstractNum w:abstractNumId="1" w15:restartNumberingAfterBreak="0">
    <w:nsid w:val="1CC03A5C"/>
    <w:multiLevelType w:val="hybridMultilevel"/>
    <w:tmpl w:val="1B501822"/>
    <w:lvl w:ilvl="0" w:tplc="50346D6E">
      <w:start w:val="1"/>
      <w:numFmt w:val="lowerLetter"/>
      <w:lvlText w:val="(%1)"/>
      <w:lvlJc w:val="left"/>
      <w:pPr>
        <w:ind w:left="727" w:hanging="568"/>
        <w:jc w:val="left"/>
      </w:pPr>
      <w:rPr>
        <w:rFonts w:ascii="Arial" w:eastAsia="Arial" w:hAnsi="Arial" w:cs="Arial" w:hint="default"/>
        <w:w w:val="99"/>
        <w:sz w:val="22"/>
        <w:szCs w:val="22"/>
        <w:lang w:val="en-US" w:eastAsia="en-US" w:bidi="en-US"/>
      </w:rPr>
    </w:lvl>
    <w:lvl w:ilvl="1" w:tplc="7262AFB8">
      <w:start w:val="2"/>
      <w:numFmt w:val="lowerRoman"/>
      <w:lvlText w:val="(%2)"/>
      <w:lvlJc w:val="left"/>
      <w:pPr>
        <w:ind w:left="1152" w:hanging="425"/>
        <w:jc w:val="left"/>
      </w:pPr>
      <w:rPr>
        <w:rFonts w:ascii="Arial" w:eastAsia="Arial" w:hAnsi="Arial" w:cs="Arial" w:hint="default"/>
        <w:w w:val="99"/>
        <w:sz w:val="22"/>
        <w:szCs w:val="22"/>
        <w:lang w:val="en-US" w:eastAsia="en-US" w:bidi="en-US"/>
      </w:rPr>
    </w:lvl>
    <w:lvl w:ilvl="2" w:tplc="DA047806">
      <w:numFmt w:val="bullet"/>
      <w:lvlText w:val="•"/>
      <w:lvlJc w:val="left"/>
      <w:pPr>
        <w:ind w:left="2067" w:hanging="425"/>
      </w:pPr>
      <w:rPr>
        <w:rFonts w:hint="default"/>
        <w:lang w:val="en-US" w:eastAsia="en-US" w:bidi="en-US"/>
      </w:rPr>
    </w:lvl>
    <w:lvl w:ilvl="3" w:tplc="227AE340">
      <w:numFmt w:val="bullet"/>
      <w:lvlText w:val="•"/>
      <w:lvlJc w:val="left"/>
      <w:pPr>
        <w:ind w:left="2974" w:hanging="425"/>
      </w:pPr>
      <w:rPr>
        <w:rFonts w:hint="default"/>
        <w:lang w:val="en-US" w:eastAsia="en-US" w:bidi="en-US"/>
      </w:rPr>
    </w:lvl>
    <w:lvl w:ilvl="4" w:tplc="C72A4476">
      <w:numFmt w:val="bullet"/>
      <w:lvlText w:val="•"/>
      <w:lvlJc w:val="left"/>
      <w:pPr>
        <w:ind w:left="3881" w:hanging="425"/>
      </w:pPr>
      <w:rPr>
        <w:rFonts w:hint="default"/>
        <w:lang w:val="en-US" w:eastAsia="en-US" w:bidi="en-US"/>
      </w:rPr>
    </w:lvl>
    <w:lvl w:ilvl="5" w:tplc="ED06BB38">
      <w:numFmt w:val="bullet"/>
      <w:lvlText w:val="•"/>
      <w:lvlJc w:val="left"/>
      <w:pPr>
        <w:ind w:left="4788" w:hanging="425"/>
      </w:pPr>
      <w:rPr>
        <w:rFonts w:hint="default"/>
        <w:lang w:val="en-US" w:eastAsia="en-US" w:bidi="en-US"/>
      </w:rPr>
    </w:lvl>
    <w:lvl w:ilvl="6" w:tplc="D57C742C">
      <w:numFmt w:val="bullet"/>
      <w:lvlText w:val="•"/>
      <w:lvlJc w:val="left"/>
      <w:pPr>
        <w:ind w:left="5695" w:hanging="425"/>
      </w:pPr>
      <w:rPr>
        <w:rFonts w:hint="default"/>
        <w:lang w:val="en-US" w:eastAsia="en-US" w:bidi="en-US"/>
      </w:rPr>
    </w:lvl>
    <w:lvl w:ilvl="7" w:tplc="359C12B2">
      <w:numFmt w:val="bullet"/>
      <w:lvlText w:val="•"/>
      <w:lvlJc w:val="left"/>
      <w:pPr>
        <w:ind w:left="6602" w:hanging="425"/>
      </w:pPr>
      <w:rPr>
        <w:rFonts w:hint="default"/>
        <w:lang w:val="en-US" w:eastAsia="en-US" w:bidi="en-US"/>
      </w:rPr>
    </w:lvl>
    <w:lvl w:ilvl="8" w:tplc="80B2B5D4">
      <w:numFmt w:val="bullet"/>
      <w:lvlText w:val="•"/>
      <w:lvlJc w:val="left"/>
      <w:pPr>
        <w:ind w:left="7510" w:hanging="42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DF"/>
    <w:rsid w:val="000701DE"/>
    <w:rsid w:val="000852D0"/>
    <w:rsid w:val="000A75D3"/>
    <w:rsid w:val="000B415D"/>
    <w:rsid w:val="0013639D"/>
    <w:rsid w:val="002F5E2B"/>
    <w:rsid w:val="0039220B"/>
    <w:rsid w:val="003F64DF"/>
    <w:rsid w:val="004E58BC"/>
    <w:rsid w:val="00640A7D"/>
    <w:rsid w:val="00874B41"/>
    <w:rsid w:val="008869E9"/>
    <w:rsid w:val="00985A1F"/>
    <w:rsid w:val="009D3298"/>
    <w:rsid w:val="00A44D51"/>
    <w:rsid w:val="00B62949"/>
    <w:rsid w:val="00CC7684"/>
    <w:rsid w:val="00D438CE"/>
    <w:rsid w:val="00DB7333"/>
    <w:rsid w:val="00DE4295"/>
    <w:rsid w:val="00E40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FA89"/>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7" w:right="230" w:hanging="568"/>
      <w:jc w:val="both"/>
    </w:pPr>
  </w:style>
  <w:style w:type="paragraph" w:customStyle="1" w:styleId="TableParagraph">
    <w:name w:val="Table Paragraph"/>
    <w:basedOn w:val="Normal"/>
    <w:uiPriority w:val="1"/>
    <w:qFormat/>
    <w:pPr>
      <w:spacing w:before="46"/>
      <w:ind w:left="106"/>
    </w:pPr>
  </w:style>
  <w:style w:type="paragraph" w:styleId="Header">
    <w:name w:val="header"/>
    <w:basedOn w:val="Normal"/>
    <w:link w:val="HeaderChar"/>
    <w:uiPriority w:val="99"/>
    <w:unhideWhenUsed/>
    <w:rsid w:val="008869E9"/>
    <w:pPr>
      <w:tabs>
        <w:tab w:val="center" w:pos="4513"/>
        <w:tab w:val="right" w:pos="9026"/>
      </w:tabs>
    </w:pPr>
  </w:style>
  <w:style w:type="character" w:customStyle="1" w:styleId="HeaderChar">
    <w:name w:val="Header Char"/>
    <w:basedOn w:val="DefaultParagraphFont"/>
    <w:link w:val="Header"/>
    <w:uiPriority w:val="99"/>
    <w:rsid w:val="008869E9"/>
    <w:rPr>
      <w:rFonts w:ascii="Arial" w:eastAsia="Arial" w:hAnsi="Arial" w:cs="Arial"/>
      <w:lang w:bidi="en-US"/>
    </w:rPr>
  </w:style>
  <w:style w:type="paragraph" w:styleId="Footer">
    <w:name w:val="footer"/>
    <w:basedOn w:val="Normal"/>
    <w:link w:val="FooterChar"/>
    <w:uiPriority w:val="99"/>
    <w:unhideWhenUsed/>
    <w:rsid w:val="008869E9"/>
    <w:pPr>
      <w:tabs>
        <w:tab w:val="center" w:pos="4513"/>
        <w:tab w:val="right" w:pos="9026"/>
      </w:tabs>
    </w:pPr>
  </w:style>
  <w:style w:type="character" w:customStyle="1" w:styleId="FooterChar">
    <w:name w:val="Footer Char"/>
    <w:basedOn w:val="DefaultParagraphFont"/>
    <w:link w:val="Footer"/>
    <w:uiPriority w:val="99"/>
    <w:rsid w:val="008869E9"/>
    <w:rPr>
      <w:rFonts w:ascii="Arial" w:eastAsia="Arial" w:hAnsi="Arial" w:cs="Arial"/>
      <w:lang w:bidi="en-US"/>
    </w:rPr>
  </w:style>
  <w:style w:type="paragraph" w:styleId="NormalWeb">
    <w:name w:val="Normal (Web)"/>
    <w:basedOn w:val="Normal"/>
    <w:uiPriority w:val="99"/>
    <w:unhideWhenUsed/>
    <w:rsid w:val="008869E9"/>
    <w:pPr>
      <w:widowControl/>
      <w:autoSpaceDE/>
      <w:autoSpaceDN/>
      <w:spacing w:before="100" w:beforeAutospacing="1" w:after="100" w:afterAutospacing="1"/>
    </w:pPr>
    <w:rPr>
      <w:rFonts w:ascii="Times New Roman" w:eastAsia="Times New Roman" w:hAnsi="Times New Roman" w:cs="Times New Roman"/>
      <w:sz w:val="24"/>
      <w:szCs w:val="24"/>
      <w:lang w:eastAsia="en-SG" w:bidi="ar-SA"/>
    </w:rPr>
  </w:style>
  <w:style w:type="character" w:styleId="Strong">
    <w:name w:val="Strong"/>
    <w:basedOn w:val="DefaultParagraphFont"/>
    <w:uiPriority w:val="22"/>
    <w:qFormat/>
    <w:rsid w:val="008869E9"/>
    <w:rPr>
      <w:b/>
      <w:bCs/>
    </w:rPr>
  </w:style>
  <w:style w:type="character" w:styleId="Hyperlink">
    <w:name w:val="Hyperlink"/>
    <w:basedOn w:val="DefaultParagraphFont"/>
    <w:uiPriority w:val="99"/>
    <w:unhideWhenUsed/>
    <w:rsid w:val="008869E9"/>
    <w:rPr>
      <w:color w:val="0000FF" w:themeColor="hyperlink"/>
      <w:u w:val="single"/>
    </w:rPr>
  </w:style>
  <w:style w:type="paragraph" w:styleId="BalloonText">
    <w:name w:val="Balloon Text"/>
    <w:basedOn w:val="Normal"/>
    <w:link w:val="BalloonTextChar"/>
    <w:uiPriority w:val="99"/>
    <w:semiHidden/>
    <w:unhideWhenUsed/>
    <w:rsid w:val="004E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B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cp:lastModifiedBy>
  <cp:revision>4</cp:revision>
  <cp:lastPrinted>2019-09-15T01:59:00Z</cp:lastPrinted>
  <dcterms:created xsi:type="dcterms:W3CDTF">2020-05-14T11:11:00Z</dcterms:created>
  <dcterms:modified xsi:type="dcterms:W3CDTF">2020-05-14T13:05:00Z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2019-05-24T00:00:00Z</vt:filetime>
  </property>
</Properties>
</file>