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55DE3" w14:textId="77777777" w:rsidR="00C85F53" w:rsidRPr="00C11522" w:rsidRDefault="00C85F53" w:rsidP="008E5B14">
      <w:pPr>
        <w:pStyle w:val="Title"/>
        <w:tabs>
          <w:tab w:val="left" w:pos="7226"/>
        </w:tabs>
        <w:spacing w:after="0"/>
        <w:jc w:val="both"/>
        <w:rPr>
          <w:rFonts w:ascii="Arial" w:hAnsi="Arial" w:cs="Arial"/>
          <w:color w:val="auto"/>
        </w:rPr>
      </w:pPr>
      <w:bookmarkStart w:id="0" w:name="_Hlk496258936"/>
      <w:bookmarkEnd w:id="0"/>
      <w:r w:rsidRPr="00C11522">
        <w:rPr>
          <w:rFonts w:ascii="Arial" w:hAnsi="Arial" w:cs="Arial"/>
          <w:color w:val="auto"/>
        </w:rPr>
        <w:t xml:space="preserve">Term 4 Intensive Revision </w:t>
      </w:r>
      <w:r w:rsidRPr="00C11522">
        <w:rPr>
          <w:rFonts w:ascii="Arial" w:hAnsi="Arial" w:cs="Arial"/>
          <w:color w:val="auto"/>
        </w:rPr>
        <w:tab/>
      </w:r>
    </w:p>
    <w:p w14:paraId="00CFAB21" w14:textId="77777777" w:rsidR="008365EE" w:rsidRPr="00C11522" w:rsidRDefault="00D24A32" w:rsidP="008E5B14">
      <w:pPr>
        <w:contextualSpacing/>
        <w:jc w:val="both"/>
        <w:rPr>
          <w:rFonts w:ascii="Arial" w:hAnsi="Arial" w:cs="Arial"/>
          <w:b/>
          <w:sz w:val="28"/>
          <w:szCs w:val="28"/>
        </w:rPr>
      </w:pPr>
      <w:r w:rsidRPr="00C11522">
        <w:rPr>
          <w:rFonts w:ascii="Arial" w:hAnsi="Arial" w:cs="Arial"/>
          <w:b/>
          <w:sz w:val="28"/>
          <w:szCs w:val="28"/>
        </w:rPr>
        <w:t xml:space="preserve">Case Study Practice – </w:t>
      </w:r>
      <w:r w:rsidR="0057573B">
        <w:rPr>
          <w:rFonts w:ascii="Arial" w:hAnsi="Arial" w:cs="Arial"/>
          <w:b/>
          <w:sz w:val="28"/>
          <w:szCs w:val="28"/>
        </w:rPr>
        <w:t>Cost of Production, Market Structure</w:t>
      </w:r>
    </w:p>
    <w:p w14:paraId="39E4C66A" w14:textId="77777777" w:rsidR="008365EE" w:rsidRDefault="008365EE" w:rsidP="008E5B14">
      <w:pPr>
        <w:autoSpaceDE w:val="0"/>
        <w:autoSpaceDN w:val="0"/>
        <w:adjustRightInd w:val="0"/>
        <w:rPr>
          <w:rFonts w:ascii="Calibri" w:eastAsia="Times New Roman" w:hAnsi="Calibri"/>
          <w:color w:val="000000"/>
        </w:rPr>
      </w:pPr>
    </w:p>
    <w:p w14:paraId="189C978B" w14:textId="77777777" w:rsidR="008365EE" w:rsidRPr="008365EE" w:rsidRDefault="0057573B" w:rsidP="008E5B14">
      <w:pPr>
        <w:autoSpaceDE w:val="0"/>
        <w:autoSpaceDN w:val="0"/>
        <w:adjustRightInd w:val="0"/>
        <w:jc w:val="center"/>
        <w:rPr>
          <w:rFonts w:ascii="Arial" w:hAnsi="Arial" w:cs="Arial"/>
          <w:b/>
          <w:bCs/>
          <w:sz w:val="26"/>
          <w:szCs w:val="26"/>
          <w:lang w:val="en-SG"/>
        </w:rPr>
      </w:pPr>
      <w:r>
        <w:rPr>
          <w:rFonts w:ascii="Arial" w:hAnsi="Arial" w:cs="Arial"/>
          <w:b/>
          <w:bCs/>
          <w:sz w:val="26"/>
          <w:szCs w:val="26"/>
          <w:lang w:val="en-SG"/>
        </w:rPr>
        <w:t>United States’ Pharmaceutical Industry</w:t>
      </w:r>
    </w:p>
    <w:p w14:paraId="4A6E75EE" w14:textId="77777777" w:rsidR="008365EE" w:rsidRPr="008365EE" w:rsidRDefault="008365EE" w:rsidP="008E5B14">
      <w:pPr>
        <w:autoSpaceDE w:val="0"/>
        <w:autoSpaceDN w:val="0"/>
        <w:adjustRightInd w:val="0"/>
        <w:rPr>
          <w:rFonts w:ascii="Arial" w:hAnsi="Arial" w:cs="Arial"/>
          <w:sz w:val="26"/>
          <w:szCs w:val="26"/>
          <w:lang w:val="en-SG"/>
        </w:rPr>
      </w:pPr>
    </w:p>
    <w:p w14:paraId="0AAEFB6A" w14:textId="77777777" w:rsidR="0057573B" w:rsidRDefault="0057573B" w:rsidP="008E5B14">
      <w:pPr>
        <w:jc w:val="both"/>
        <w:rPr>
          <w:rFonts w:ascii="Arial" w:hAnsi="Arial" w:cs="Arial"/>
          <w:b/>
          <w:bCs/>
          <w:sz w:val="26"/>
          <w:szCs w:val="26"/>
        </w:rPr>
      </w:pPr>
      <w:r w:rsidRPr="0057573B">
        <w:rPr>
          <w:rFonts w:ascii="Arial" w:hAnsi="Arial" w:cs="Arial"/>
          <w:b/>
          <w:bCs/>
          <w:sz w:val="26"/>
          <w:szCs w:val="26"/>
        </w:rPr>
        <w:t>Extract 1: The Pharmaceutical and Biotech Industries in the United States</w:t>
      </w:r>
    </w:p>
    <w:p w14:paraId="75EFBDB6" w14:textId="77777777" w:rsidR="008E5B14" w:rsidRPr="0057573B" w:rsidRDefault="008E5B14" w:rsidP="008E5B14">
      <w:pPr>
        <w:jc w:val="both"/>
        <w:rPr>
          <w:rFonts w:ascii="Arial" w:hAnsi="Arial" w:cs="Arial"/>
          <w:sz w:val="26"/>
          <w:szCs w:val="26"/>
        </w:rPr>
      </w:pPr>
    </w:p>
    <w:p w14:paraId="094DF5C4" w14:textId="77777777" w:rsidR="0057573B" w:rsidRDefault="0057573B" w:rsidP="008E5B14">
      <w:pPr>
        <w:jc w:val="both"/>
        <w:rPr>
          <w:rFonts w:ascii="Arial" w:hAnsi="Arial" w:cs="Arial"/>
          <w:sz w:val="26"/>
          <w:szCs w:val="26"/>
        </w:rPr>
      </w:pPr>
      <w:r w:rsidRPr="0057573B">
        <w:rPr>
          <w:rFonts w:ascii="Arial" w:hAnsi="Arial" w:cs="Arial"/>
          <w:sz w:val="26"/>
          <w:szCs w:val="26"/>
        </w:rPr>
        <w:t>The United States is the world leader in biopharmaceutical research and development (R&amp;D). In particular, San Francisco Bay Area and Northern California have the largest concentration of biotech companies in the nation. It is home to nearly 1,377 life science and biotech companies that employ more than 140,000 people. Bioscience companies based in the Bay Area reported total worldwide revenues of $4.1 billion and exports worth $2.7 billion.</w:t>
      </w:r>
    </w:p>
    <w:p w14:paraId="0EDA236B" w14:textId="77777777" w:rsidR="008E5B14" w:rsidRPr="0057573B" w:rsidRDefault="008E5B14" w:rsidP="008E5B14">
      <w:pPr>
        <w:jc w:val="both"/>
        <w:rPr>
          <w:rFonts w:ascii="Arial" w:hAnsi="Arial" w:cs="Arial"/>
          <w:sz w:val="26"/>
          <w:szCs w:val="26"/>
        </w:rPr>
      </w:pPr>
    </w:p>
    <w:p w14:paraId="618D70B9" w14:textId="77777777" w:rsidR="0057573B" w:rsidRPr="0057573B" w:rsidRDefault="0057573B" w:rsidP="008E5B14">
      <w:pPr>
        <w:jc w:val="both"/>
        <w:rPr>
          <w:rFonts w:ascii="Arial" w:hAnsi="Arial" w:cs="Arial"/>
          <w:sz w:val="26"/>
          <w:szCs w:val="26"/>
        </w:rPr>
      </w:pPr>
      <w:r w:rsidRPr="0057573B">
        <w:rPr>
          <w:rFonts w:ascii="Arial" w:hAnsi="Arial" w:cs="Arial"/>
          <w:sz w:val="26"/>
          <w:szCs w:val="26"/>
        </w:rPr>
        <w:t xml:space="preserve">The largest aggregation of research universities and federal research institutions in the U.S. is also in the Bay Area. “We are located in Emeryville, Calif. to leverage the rich intellectual talent in the San Francisco Bay Area, collaborating with academic institutions and biotechnology companies to improve patient outcomes.” said </w:t>
      </w:r>
      <w:proofErr w:type="spellStart"/>
      <w:r w:rsidRPr="0057573B">
        <w:rPr>
          <w:rFonts w:ascii="Arial" w:hAnsi="Arial" w:cs="Arial"/>
          <w:sz w:val="26"/>
          <w:szCs w:val="26"/>
        </w:rPr>
        <w:t>Mariellen</w:t>
      </w:r>
      <w:proofErr w:type="spellEnd"/>
      <w:r w:rsidRPr="0057573B">
        <w:rPr>
          <w:rFonts w:ascii="Arial" w:hAnsi="Arial" w:cs="Arial"/>
          <w:sz w:val="26"/>
          <w:szCs w:val="26"/>
        </w:rPr>
        <w:t xml:space="preserve"> Gallagher, a spokesperson for Novartis Institutes for </w:t>
      </w:r>
      <w:proofErr w:type="spellStart"/>
      <w:r w:rsidRPr="0057573B">
        <w:rPr>
          <w:rFonts w:ascii="Arial" w:hAnsi="Arial" w:cs="Arial"/>
          <w:sz w:val="26"/>
          <w:szCs w:val="26"/>
        </w:rPr>
        <w:t>BioMedical</w:t>
      </w:r>
      <w:proofErr w:type="spellEnd"/>
      <w:r w:rsidRPr="0057573B">
        <w:rPr>
          <w:rFonts w:ascii="Arial" w:hAnsi="Arial" w:cs="Arial"/>
          <w:sz w:val="26"/>
          <w:szCs w:val="26"/>
        </w:rPr>
        <w:t xml:space="preserve"> Research, the drug discovery unit for Novartis.</w:t>
      </w:r>
    </w:p>
    <w:p w14:paraId="0A2A5389" w14:textId="77777777" w:rsidR="0057573B" w:rsidRDefault="0057573B" w:rsidP="008E5B14">
      <w:pPr>
        <w:jc w:val="both"/>
        <w:rPr>
          <w:rFonts w:ascii="Arial" w:hAnsi="Arial" w:cs="Arial"/>
          <w:sz w:val="26"/>
          <w:szCs w:val="26"/>
        </w:rPr>
      </w:pPr>
      <w:r w:rsidRPr="0057573B">
        <w:rPr>
          <w:rFonts w:ascii="Arial" w:hAnsi="Arial" w:cs="Arial"/>
          <w:sz w:val="26"/>
          <w:szCs w:val="26"/>
        </w:rPr>
        <w:t xml:space="preserve">According to the Pharmaceutical Research and Manufacturers Association (PhRMA), U.S. firms conduct </w:t>
      </w:r>
      <w:proofErr w:type="gramStart"/>
      <w:r w:rsidRPr="0057573B">
        <w:rPr>
          <w:rFonts w:ascii="Arial" w:hAnsi="Arial" w:cs="Arial"/>
          <w:sz w:val="26"/>
          <w:szCs w:val="26"/>
        </w:rPr>
        <w:t>the majority of</w:t>
      </w:r>
      <w:proofErr w:type="gramEnd"/>
      <w:r w:rsidRPr="0057573B">
        <w:rPr>
          <w:rFonts w:ascii="Arial" w:hAnsi="Arial" w:cs="Arial"/>
          <w:sz w:val="26"/>
          <w:szCs w:val="26"/>
        </w:rPr>
        <w:t xml:space="preserve"> the world's research and development in pharmaceuticals and hold the intellectual property rights on most new medicines. Its strengths include an intellectual property system that rewards innovation through patent and data protection, a science-based regulatory system that is considered the most rigorous in the world, the world’s largest scientific research base fostered by academic institutions and decades of government research funding, and robust capital markets. </w:t>
      </w:r>
    </w:p>
    <w:p w14:paraId="14D35895" w14:textId="77777777" w:rsidR="008E5B14" w:rsidRPr="0057573B" w:rsidRDefault="008E5B14" w:rsidP="008E5B14">
      <w:pPr>
        <w:jc w:val="both"/>
        <w:rPr>
          <w:rFonts w:ascii="Arial" w:hAnsi="Arial" w:cs="Arial"/>
          <w:sz w:val="26"/>
          <w:szCs w:val="26"/>
        </w:rPr>
      </w:pPr>
    </w:p>
    <w:p w14:paraId="0AFA0D3F" w14:textId="77777777" w:rsidR="0057573B" w:rsidRPr="0057573B" w:rsidRDefault="0057573B" w:rsidP="008E5B14">
      <w:pPr>
        <w:jc w:val="right"/>
        <w:rPr>
          <w:rFonts w:ascii="Arial" w:hAnsi="Arial" w:cs="Arial"/>
          <w:b/>
          <w:bCs/>
          <w:sz w:val="26"/>
          <w:szCs w:val="26"/>
        </w:rPr>
      </w:pPr>
      <w:r w:rsidRPr="0057573B">
        <w:rPr>
          <w:rFonts w:ascii="Arial" w:hAnsi="Arial" w:cs="Arial"/>
          <w:sz w:val="26"/>
          <w:szCs w:val="26"/>
        </w:rPr>
        <w:t xml:space="preserve">Source: </w:t>
      </w:r>
      <w:proofErr w:type="spellStart"/>
      <w:r w:rsidRPr="0057573B">
        <w:rPr>
          <w:rFonts w:ascii="Arial" w:hAnsi="Arial" w:cs="Arial"/>
          <w:i/>
          <w:iCs/>
          <w:sz w:val="26"/>
          <w:szCs w:val="26"/>
        </w:rPr>
        <w:t>SelectUSA</w:t>
      </w:r>
      <w:proofErr w:type="spellEnd"/>
      <w:r w:rsidRPr="0057573B">
        <w:rPr>
          <w:rFonts w:ascii="Arial" w:hAnsi="Arial" w:cs="Arial"/>
          <w:sz w:val="26"/>
          <w:szCs w:val="26"/>
        </w:rPr>
        <w:t>, accessed 10</w:t>
      </w:r>
      <w:r w:rsidRPr="0057573B">
        <w:rPr>
          <w:rFonts w:ascii="Arial" w:hAnsi="Arial" w:cs="Arial"/>
          <w:sz w:val="26"/>
          <w:szCs w:val="26"/>
          <w:vertAlign w:val="superscript"/>
        </w:rPr>
        <w:t xml:space="preserve"> </w:t>
      </w:r>
      <w:r w:rsidRPr="0057573B">
        <w:rPr>
          <w:rFonts w:ascii="Arial" w:hAnsi="Arial" w:cs="Arial"/>
          <w:sz w:val="26"/>
          <w:szCs w:val="26"/>
        </w:rPr>
        <w:t>August 2017</w:t>
      </w:r>
    </w:p>
    <w:p w14:paraId="35DAD772" w14:textId="77777777" w:rsidR="0057573B" w:rsidRPr="0057573B" w:rsidRDefault="0057573B" w:rsidP="008E5B14">
      <w:pPr>
        <w:rPr>
          <w:rFonts w:ascii="Arial" w:hAnsi="Arial" w:cs="Arial"/>
          <w:b/>
          <w:bCs/>
          <w:sz w:val="26"/>
          <w:szCs w:val="26"/>
        </w:rPr>
      </w:pPr>
    </w:p>
    <w:p w14:paraId="2787F4AD" w14:textId="77777777" w:rsidR="0057573B" w:rsidRDefault="0057573B" w:rsidP="008E5B14">
      <w:pPr>
        <w:rPr>
          <w:rFonts w:ascii="Arial" w:hAnsi="Arial" w:cs="Arial"/>
          <w:b/>
          <w:bCs/>
          <w:sz w:val="26"/>
          <w:szCs w:val="26"/>
        </w:rPr>
      </w:pPr>
      <w:r>
        <w:rPr>
          <w:rFonts w:ascii="Arial" w:hAnsi="Arial" w:cs="Arial"/>
          <w:b/>
          <w:bCs/>
          <w:sz w:val="26"/>
          <w:szCs w:val="26"/>
        </w:rPr>
        <w:br w:type="page"/>
      </w:r>
    </w:p>
    <w:p w14:paraId="25C25688" w14:textId="77777777" w:rsidR="0057573B" w:rsidRPr="0057573B" w:rsidRDefault="0057573B" w:rsidP="008E5B14">
      <w:pPr>
        <w:jc w:val="both"/>
        <w:rPr>
          <w:rFonts w:ascii="Arial" w:hAnsi="Arial" w:cs="Arial"/>
          <w:b/>
          <w:bCs/>
          <w:sz w:val="26"/>
          <w:szCs w:val="26"/>
        </w:rPr>
      </w:pPr>
      <w:r w:rsidRPr="0057573B">
        <w:rPr>
          <w:rFonts w:ascii="Arial" w:hAnsi="Arial" w:cs="Arial"/>
          <w:b/>
          <w:bCs/>
          <w:sz w:val="26"/>
          <w:szCs w:val="26"/>
        </w:rPr>
        <w:lastRenderedPageBreak/>
        <w:t>Figure 1: Projected total worldwide Pharmaceutical Research and Development (R&amp;D) Spending from 2016 to 2022</w:t>
      </w:r>
    </w:p>
    <w:p w14:paraId="2B7E7666" w14:textId="77777777" w:rsidR="0057573B" w:rsidRPr="0057573B" w:rsidRDefault="0057573B" w:rsidP="008E5B14">
      <w:pPr>
        <w:rPr>
          <w:rFonts w:ascii="Arial" w:hAnsi="Arial" w:cs="Arial"/>
          <w:b/>
          <w:bCs/>
          <w:sz w:val="26"/>
          <w:szCs w:val="26"/>
        </w:rPr>
      </w:pPr>
      <w:r w:rsidRPr="0057573B">
        <w:rPr>
          <w:rFonts w:ascii="Arial" w:hAnsi="Arial" w:cs="Arial"/>
          <w:noProof/>
          <w:sz w:val="26"/>
          <w:szCs w:val="26"/>
          <w:lang w:val="en-SG"/>
        </w:rPr>
        <w:drawing>
          <wp:anchor distT="0" distB="0" distL="114300" distR="114300" simplePos="0" relativeHeight="251659264" behindDoc="0" locked="0" layoutInCell="1" allowOverlap="1" wp14:anchorId="78799953" wp14:editId="6BFC0D72">
            <wp:simplePos x="0" y="0"/>
            <wp:positionH relativeFrom="margin">
              <wp:align>center</wp:align>
            </wp:positionH>
            <wp:positionV relativeFrom="paragraph">
              <wp:posOffset>124637</wp:posOffset>
            </wp:positionV>
            <wp:extent cx="5390866" cy="2388359"/>
            <wp:effectExtent l="0" t="0" r="635" b="1206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2D90FC79" w14:textId="77777777" w:rsidR="0057573B" w:rsidRPr="0057573B" w:rsidRDefault="0057573B" w:rsidP="008E5B14">
      <w:pPr>
        <w:rPr>
          <w:rFonts w:ascii="Arial" w:hAnsi="Arial" w:cs="Arial"/>
          <w:b/>
          <w:bCs/>
          <w:sz w:val="26"/>
          <w:szCs w:val="26"/>
        </w:rPr>
      </w:pPr>
    </w:p>
    <w:p w14:paraId="2E328A7F" w14:textId="77777777" w:rsidR="0057573B" w:rsidRPr="0057573B" w:rsidRDefault="0057573B" w:rsidP="008E5B14">
      <w:pPr>
        <w:rPr>
          <w:rFonts w:ascii="Arial" w:hAnsi="Arial" w:cs="Arial"/>
          <w:sz w:val="26"/>
          <w:szCs w:val="26"/>
        </w:rPr>
      </w:pPr>
    </w:p>
    <w:p w14:paraId="63F7EA20" w14:textId="77777777" w:rsidR="0057573B" w:rsidRDefault="0057573B" w:rsidP="008E5B14">
      <w:pPr>
        <w:rPr>
          <w:rFonts w:ascii="Arial" w:hAnsi="Arial" w:cs="Arial"/>
          <w:sz w:val="26"/>
          <w:szCs w:val="26"/>
        </w:rPr>
      </w:pPr>
    </w:p>
    <w:p w14:paraId="38DDAC1C" w14:textId="77777777" w:rsidR="008E5B14" w:rsidRDefault="008E5B14" w:rsidP="008E5B14">
      <w:pPr>
        <w:rPr>
          <w:rFonts w:ascii="Arial" w:hAnsi="Arial" w:cs="Arial"/>
          <w:sz w:val="26"/>
          <w:szCs w:val="26"/>
        </w:rPr>
      </w:pPr>
    </w:p>
    <w:p w14:paraId="2B2089E3" w14:textId="77777777" w:rsidR="008E5B14" w:rsidRDefault="008E5B14" w:rsidP="008E5B14">
      <w:pPr>
        <w:rPr>
          <w:rFonts w:ascii="Arial" w:hAnsi="Arial" w:cs="Arial"/>
          <w:sz w:val="26"/>
          <w:szCs w:val="26"/>
        </w:rPr>
      </w:pPr>
    </w:p>
    <w:p w14:paraId="1A568988" w14:textId="77777777" w:rsidR="008E5B14" w:rsidRDefault="008E5B14" w:rsidP="008E5B14">
      <w:pPr>
        <w:rPr>
          <w:rFonts w:ascii="Arial" w:hAnsi="Arial" w:cs="Arial"/>
          <w:sz w:val="26"/>
          <w:szCs w:val="26"/>
        </w:rPr>
      </w:pPr>
    </w:p>
    <w:p w14:paraId="04E6E580" w14:textId="77777777" w:rsidR="008E5B14" w:rsidRDefault="008E5B14" w:rsidP="008E5B14">
      <w:pPr>
        <w:rPr>
          <w:rFonts w:ascii="Arial" w:hAnsi="Arial" w:cs="Arial"/>
          <w:sz w:val="26"/>
          <w:szCs w:val="26"/>
        </w:rPr>
      </w:pPr>
    </w:p>
    <w:p w14:paraId="28FF10BB" w14:textId="77777777" w:rsidR="008E5B14" w:rsidRPr="0057573B" w:rsidRDefault="008E5B14" w:rsidP="008E5B14">
      <w:pPr>
        <w:rPr>
          <w:rFonts w:ascii="Arial" w:hAnsi="Arial" w:cs="Arial"/>
          <w:sz w:val="26"/>
          <w:szCs w:val="26"/>
        </w:rPr>
      </w:pPr>
    </w:p>
    <w:p w14:paraId="5C31965F" w14:textId="77777777" w:rsidR="0057573B" w:rsidRPr="0057573B" w:rsidRDefault="0057573B" w:rsidP="008E5B14">
      <w:pPr>
        <w:rPr>
          <w:rFonts w:ascii="Arial" w:hAnsi="Arial" w:cs="Arial"/>
          <w:sz w:val="26"/>
          <w:szCs w:val="26"/>
        </w:rPr>
      </w:pPr>
    </w:p>
    <w:p w14:paraId="75629C71" w14:textId="77777777" w:rsidR="0057573B" w:rsidRPr="0057573B" w:rsidRDefault="0057573B" w:rsidP="008E5B14">
      <w:pPr>
        <w:rPr>
          <w:rFonts w:ascii="Arial" w:hAnsi="Arial" w:cs="Arial"/>
          <w:sz w:val="26"/>
          <w:szCs w:val="26"/>
        </w:rPr>
      </w:pPr>
    </w:p>
    <w:p w14:paraId="63188466" w14:textId="77777777" w:rsidR="0057573B" w:rsidRPr="0057573B" w:rsidRDefault="0057573B" w:rsidP="008E5B14">
      <w:pPr>
        <w:rPr>
          <w:rFonts w:ascii="Arial" w:hAnsi="Arial" w:cs="Arial"/>
          <w:sz w:val="26"/>
          <w:szCs w:val="26"/>
        </w:rPr>
      </w:pPr>
    </w:p>
    <w:p w14:paraId="3E9C25E1" w14:textId="77777777" w:rsidR="0057573B" w:rsidRPr="0057573B" w:rsidRDefault="0057573B" w:rsidP="008E5B14">
      <w:pPr>
        <w:rPr>
          <w:rFonts w:ascii="Arial" w:hAnsi="Arial" w:cs="Arial"/>
          <w:sz w:val="26"/>
          <w:szCs w:val="26"/>
        </w:rPr>
      </w:pPr>
    </w:p>
    <w:p w14:paraId="07660700" w14:textId="77777777" w:rsidR="0057573B" w:rsidRPr="0057573B" w:rsidRDefault="0057573B" w:rsidP="008E5B14">
      <w:pPr>
        <w:rPr>
          <w:rFonts w:ascii="Arial" w:hAnsi="Arial" w:cs="Arial"/>
          <w:sz w:val="26"/>
          <w:szCs w:val="26"/>
        </w:rPr>
      </w:pPr>
    </w:p>
    <w:p w14:paraId="702751CE" w14:textId="77777777" w:rsidR="0057573B" w:rsidRPr="0057573B" w:rsidRDefault="0057573B" w:rsidP="008E5B14">
      <w:pPr>
        <w:jc w:val="right"/>
        <w:rPr>
          <w:rFonts w:ascii="Arial" w:hAnsi="Arial" w:cs="Arial"/>
          <w:sz w:val="26"/>
          <w:szCs w:val="26"/>
        </w:rPr>
      </w:pPr>
      <w:r w:rsidRPr="0057573B">
        <w:rPr>
          <w:rFonts w:ascii="Arial" w:hAnsi="Arial" w:cs="Arial"/>
          <w:sz w:val="26"/>
          <w:szCs w:val="26"/>
        </w:rPr>
        <w:t xml:space="preserve">Source: </w:t>
      </w:r>
      <w:proofErr w:type="spellStart"/>
      <w:r w:rsidRPr="0057573B">
        <w:rPr>
          <w:rFonts w:ascii="Arial" w:hAnsi="Arial" w:cs="Arial"/>
          <w:i/>
          <w:iCs/>
          <w:sz w:val="26"/>
          <w:szCs w:val="26"/>
        </w:rPr>
        <w:t>EvaluatePharma</w:t>
      </w:r>
      <w:proofErr w:type="spellEnd"/>
      <w:r w:rsidRPr="0057573B">
        <w:rPr>
          <w:rFonts w:ascii="Arial" w:hAnsi="Arial" w:cs="Arial"/>
          <w:sz w:val="26"/>
          <w:szCs w:val="26"/>
        </w:rPr>
        <w:t>, accessed 10 August 2017</w:t>
      </w:r>
    </w:p>
    <w:p w14:paraId="2F7A3EA1" w14:textId="77777777" w:rsidR="008E5B14" w:rsidRDefault="008E5B14" w:rsidP="008E5B14">
      <w:pPr>
        <w:jc w:val="both"/>
        <w:rPr>
          <w:rFonts w:ascii="Arial" w:hAnsi="Arial" w:cs="Arial"/>
          <w:b/>
          <w:bCs/>
          <w:sz w:val="26"/>
          <w:szCs w:val="26"/>
        </w:rPr>
      </w:pPr>
    </w:p>
    <w:p w14:paraId="7FC16473" w14:textId="77777777" w:rsidR="0057573B" w:rsidRDefault="0057573B" w:rsidP="008E5B14">
      <w:pPr>
        <w:jc w:val="both"/>
        <w:rPr>
          <w:rFonts w:ascii="Arial" w:hAnsi="Arial" w:cs="Arial"/>
          <w:b/>
          <w:bCs/>
          <w:sz w:val="26"/>
          <w:szCs w:val="26"/>
        </w:rPr>
      </w:pPr>
      <w:r w:rsidRPr="0057573B">
        <w:rPr>
          <w:rFonts w:ascii="Arial" w:hAnsi="Arial" w:cs="Arial"/>
          <w:b/>
          <w:bCs/>
          <w:sz w:val="26"/>
          <w:szCs w:val="26"/>
        </w:rPr>
        <w:t>Extract 2: Patent in the U.S. Pharmaceutical Industry</w:t>
      </w:r>
    </w:p>
    <w:p w14:paraId="3937984C" w14:textId="77777777" w:rsidR="008E5B14" w:rsidRPr="0057573B" w:rsidRDefault="008E5B14" w:rsidP="008E5B14">
      <w:pPr>
        <w:jc w:val="both"/>
        <w:rPr>
          <w:rFonts w:ascii="Arial" w:hAnsi="Arial" w:cs="Arial"/>
          <w:b/>
          <w:bCs/>
          <w:sz w:val="26"/>
          <w:szCs w:val="26"/>
        </w:rPr>
      </w:pPr>
    </w:p>
    <w:p w14:paraId="24DA73A7" w14:textId="77777777" w:rsidR="0057573B" w:rsidRDefault="0057573B" w:rsidP="008E5B14">
      <w:pPr>
        <w:jc w:val="both"/>
        <w:rPr>
          <w:rFonts w:ascii="Arial" w:hAnsi="Arial" w:cs="Arial"/>
          <w:sz w:val="26"/>
          <w:szCs w:val="26"/>
        </w:rPr>
      </w:pPr>
      <w:r w:rsidRPr="0057573B">
        <w:rPr>
          <w:rFonts w:ascii="Arial" w:hAnsi="Arial" w:cs="Arial"/>
          <w:sz w:val="26"/>
          <w:szCs w:val="26"/>
        </w:rPr>
        <w:t xml:space="preserve">The policy debates in the pharmaceutical industry revolve around promoting innovation and increasing competition in markets. The level of R&amp;D in the industry relies heavily on the patent system. The firm which developed the drug are rewarded from monopoly profits of the drug sales for the duration of the patent. Discovery of new drugs confer benefits to the society with more effective and improved health outcomes. On the other hand, once the patent expires, the entry of generic drugs manufacturers erodes patent-protected monopoly profits and reduces the associated society’s deadweight losses. Although the patent on an innovative drug expires on a specific date, the drug's trademark may live on and possibly delaying or impeding subsequent competition. </w:t>
      </w:r>
    </w:p>
    <w:p w14:paraId="6B93918D" w14:textId="77777777" w:rsidR="008E5B14" w:rsidRPr="0057573B" w:rsidRDefault="008E5B14" w:rsidP="008E5B14">
      <w:pPr>
        <w:jc w:val="both"/>
        <w:rPr>
          <w:rFonts w:ascii="Arial" w:hAnsi="Arial" w:cs="Arial"/>
          <w:sz w:val="26"/>
          <w:szCs w:val="26"/>
        </w:rPr>
      </w:pPr>
    </w:p>
    <w:p w14:paraId="1743BDCB" w14:textId="77777777" w:rsidR="0057573B" w:rsidRDefault="0057573B" w:rsidP="008E5B14">
      <w:pPr>
        <w:jc w:val="both"/>
        <w:rPr>
          <w:rFonts w:ascii="Arial" w:hAnsi="Arial" w:cs="Arial"/>
          <w:sz w:val="26"/>
          <w:szCs w:val="26"/>
        </w:rPr>
      </w:pPr>
      <w:r w:rsidRPr="0057573B">
        <w:rPr>
          <w:rFonts w:ascii="Arial" w:hAnsi="Arial" w:cs="Arial"/>
          <w:sz w:val="26"/>
          <w:szCs w:val="26"/>
        </w:rPr>
        <w:t xml:space="preserve">Because regulation and patents has had important effects on the level of innovation in the pharmaceutical industry, a great deal of research has been done on this trade-off between innovation and competition. </w:t>
      </w:r>
    </w:p>
    <w:p w14:paraId="1CD4DA0F" w14:textId="77777777" w:rsidR="008E5B14" w:rsidRPr="0057573B" w:rsidRDefault="008E5B14" w:rsidP="008E5B14">
      <w:pPr>
        <w:jc w:val="both"/>
        <w:rPr>
          <w:rFonts w:ascii="Arial" w:hAnsi="Arial" w:cs="Arial"/>
          <w:sz w:val="26"/>
          <w:szCs w:val="26"/>
        </w:rPr>
      </w:pPr>
    </w:p>
    <w:p w14:paraId="2CBE259A" w14:textId="77777777" w:rsidR="0057573B" w:rsidRPr="0057573B" w:rsidRDefault="0057573B" w:rsidP="008E5B14">
      <w:pPr>
        <w:jc w:val="right"/>
        <w:rPr>
          <w:rFonts w:ascii="Arial" w:hAnsi="Arial" w:cs="Arial"/>
          <w:i/>
          <w:iCs/>
          <w:sz w:val="26"/>
          <w:szCs w:val="26"/>
        </w:rPr>
      </w:pPr>
      <w:r w:rsidRPr="0057573B">
        <w:rPr>
          <w:rFonts w:ascii="Arial" w:hAnsi="Arial" w:cs="Arial"/>
          <w:sz w:val="26"/>
          <w:szCs w:val="26"/>
        </w:rPr>
        <w:t xml:space="preserve">Source: </w:t>
      </w:r>
      <w:r w:rsidRPr="0057573B">
        <w:rPr>
          <w:rFonts w:ascii="Arial" w:hAnsi="Arial" w:cs="Arial"/>
          <w:i/>
          <w:iCs/>
          <w:sz w:val="26"/>
          <w:szCs w:val="26"/>
        </w:rPr>
        <w:t xml:space="preserve">Harvard University and National Bureau of Economic Research, </w:t>
      </w:r>
      <w:r w:rsidRPr="0057573B">
        <w:rPr>
          <w:rFonts w:ascii="Arial" w:hAnsi="Arial" w:cs="Arial"/>
          <w:sz w:val="26"/>
          <w:szCs w:val="26"/>
        </w:rPr>
        <w:t>accessed 10 August 2017</w:t>
      </w:r>
    </w:p>
    <w:p w14:paraId="15B5489C" w14:textId="77777777" w:rsidR="0057573B" w:rsidRDefault="0057573B" w:rsidP="008E5B14">
      <w:pPr>
        <w:rPr>
          <w:rFonts w:ascii="Arial" w:hAnsi="Arial" w:cs="Arial"/>
          <w:b/>
          <w:bCs/>
          <w:sz w:val="26"/>
          <w:szCs w:val="26"/>
        </w:rPr>
      </w:pPr>
      <w:r>
        <w:rPr>
          <w:rFonts w:ascii="Arial" w:hAnsi="Arial" w:cs="Arial"/>
          <w:b/>
          <w:bCs/>
          <w:sz w:val="26"/>
          <w:szCs w:val="26"/>
        </w:rPr>
        <w:br w:type="page"/>
      </w:r>
    </w:p>
    <w:p w14:paraId="66AF3CF8" w14:textId="77777777" w:rsidR="0057573B" w:rsidRDefault="0057573B" w:rsidP="008E5B14">
      <w:pPr>
        <w:jc w:val="both"/>
        <w:rPr>
          <w:rFonts w:ascii="Arial" w:hAnsi="Arial" w:cs="Arial"/>
          <w:b/>
          <w:bCs/>
          <w:sz w:val="26"/>
          <w:szCs w:val="26"/>
        </w:rPr>
      </w:pPr>
      <w:r w:rsidRPr="0057573B">
        <w:rPr>
          <w:rFonts w:ascii="Arial" w:hAnsi="Arial" w:cs="Arial"/>
          <w:b/>
          <w:bCs/>
          <w:sz w:val="26"/>
          <w:szCs w:val="26"/>
        </w:rPr>
        <w:t>Extract 3: Competition from generic drug producers</w:t>
      </w:r>
    </w:p>
    <w:p w14:paraId="6BC2EE0D" w14:textId="77777777" w:rsidR="008E5B14" w:rsidRPr="0057573B" w:rsidRDefault="008E5B14" w:rsidP="008E5B14">
      <w:pPr>
        <w:jc w:val="both"/>
        <w:rPr>
          <w:rFonts w:ascii="Arial" w:hAnsi="Arial" w:cs="Arial"/>
          <w:b/>
          <w:bCs/>
          <w:sz w:val="26"/>
          <w:szCs w:val="26"/>
        </w:rPr>
      </w:pPr>
    </w:p>
    <w:p w14:paraId="30336182" w14:textId="77777777" w:rsidR="0057573B" w:rsidRDefault="0057573B" w:rsidP="008E5B14">
      <w:pPr>
        <w:jc w:val="both"/>
        <w:rPr>
          <w:rFonts w:ascii="Arial" w:hAnsi="Arial" w:cs="Arial"/>
          <w:sz w:val="26"/>
          <w:szCs w:val="26"/>
        </w:rPr>
      </w:pPr>
      <w:r w:rsidRPr="0057573B">
        <w:rPr>
          <w:rFonts w:ascii="Arial" w:hAnsi="Arial" w:cs="Arial"/>
          <w:sz w:val="26"/>
          <w:szCs w:val="26"/>
        </w:rPr>
        <w:t xml:space="preserve">Generic medicines are proven to be chemically and therapeutically equivalent to originator brands, but are significantly cheaper. Generic drug manufacturers do not incur R&amp;D costs and are able to offer a significant price advantage to the originator brand. The use of generic medicines has been seen in many countries as a partial remedy to address the problem of ever increasing expenditure on pharmaceuticals. </w:t>
      </w:r>
    </w:p>
    <w:p w14:paraId="3E308A93" w14:textId="77777777" w:rsidR="008E5B14" w:rsidRPr="0057573B" w:rsidRDefault="008E5B14" w:rsidP="008E5B14">
      <w:pPr>
        <w:jc w:val="both"/>
        <w:rPr>
          <w:rFonts w:ascii="Arial" w:hAnsi="Arial" w:cs="Arial"/>
          <w:sz w:val="26"/>
          <w:szCs w:val="26"/>
        </w:rPr>
      </w:pPr>
    </w:p>
    <w:p w14:paraId="6740F4C7" w14:textId="77777777" w:rsidR="0057573B" w:rsidRDefault="0057573B" w:rsidP="008E5B14">
      <w:pPr>
        <w:jc w:val="both"/>
        <w:rPr>
          <w:rFonts w:ascii="Arial" w:hAnsi="Arial" w:cs="Arial"/>
          <w:sz w:val="26"/>
          <w:szCs w:val="26"/>
        </w:rPr>
      </w:pPr>
      <w:r w:rsidRPr="0057573B">
        <w:rPr>
          <w:rFonts w:ascii="Arial" w:hAnsi="Arial" w:cs="Arial"/>
          <w:sz w:val="26"/>
          <w:szCs w:val="26"/>
        </w:rPr>
        <w:t>Falling drug prices can have a tangible impact on one’s treatments for illnesses that take a particularly large toll on the nation’s health. For example, the cost of high cholesterol medication </w:t>
      </w:r>
      <w:hyperlink r:id="rId9" w:tgtFrame="_blank" w:history="1">
        <w:r w:rsidRPr="0057573B">
          <w:rPr>
            <w:rStyle w:val="Hyperlink"/>
            <w:rFonts w:ascii="Arial" w:hAnsi="Arial" w:cs="Arial"/>
            <w:sz w:val="26"/>
            <w:szCs w:val="26"/>
          </w:rPr>
          <w:t>fell by 10 percent</w:t>
        </w:r>
      </w:hyperlink>
      <w:r w:rsidRPr="0057573B">
        <w:rPr>
          <w:rFonts w:ascii="Arial" w:hAnsi="Arial" w:cs="Arial"/>
          <w:sz w:val="26"/>
          <w:szCs w:val="26"/>
        </w:rPr>
        <w:t> for a 30-day supply, which quickly reduces the healthcare spending for patients who have chronic conditions like excess cholesterol and diabetes.</w:t>
      </w:r>
    </w:p>
    <w:p w14:paraId="41FB6C28" w14:textId="77777777" w:rsidR="008E5B14" w:rsidRPr="0057573B" w:rsidRDefault="008E5B14" w:rsidP="008E5B14">
      <w:pPr>
        <w:jc w:val="both"/>
        <w:rPr>
          <w:rFonts w:ascii="Arial" w:hAnsi="Arial" w:cs="Arial"/>
          <w:sz w:val="26"/>
          <w:szCs w:val="26"/>
        </w:rPr>
      </w:pPr>
    </w:p>
    <w:p w14:paraId="657109A7" w14:textId="77777777" w:rsidR="0057573B" w:rsidRDefault="0057573B" w:rsidP="008E5B14">
      <w:pPr>
        <w:jc w:val="right"/>
        <w:rPr>
          <w:rFonts w:ascii="Arial" w:hAnsi="Arial" w:cs="Arial"/>
          <w:sz w:val="26"/>
          <w:szCs w:val="26"/>
        </w:rPr>
      </w:pPr>
      <w:r w:rsidRPr="0057573B">
        <w:rPr>
          <w:rFonts w:ascii="Arial" w:hAnsi="Arial" w:cs="Arial"/>
          <w:sz w:val="26"/>
          <w:szCs w:val="26"/>
        </w:rPr>
        <w:t xml:space="preserve">Source: </w:t>
      </w:r>
      <w:r w:rsidRPr="0057573B">
        <w:rPr>
          <w:rFonts w:ascii="Arial" w:hAnsi="Arial" w:cs="Arial"/>
          <w:i/>
          <w:iCs/>
          <w:sz w:val="26"/>
          <w:szCs w:val="26"/>
        </w:rPr>
        <w:t>LSE Health</w:t>
      </w:r>
      <w:r w:rsidRPr="0057573B">
        <w:rPr>
          <w:rFonts w:ascii="Arial" w:hAnsi="Arial" w:cs="Arial"/>
          <w:sz w:val="26"/>
          <w:szCs w:val="26"/>
        </w:rPr>
        <w:t>, The London School of Economics and Political Science, accessed 10 August 2017</w:t>
      </w:r>
    </w:p>
    <w:p w14:paraId="3C8C44AD" w14:textId="77777777" w:rsidR="008E5B14" w:rsidRPr="0057573B" w:rsidRDefault="008E5B14" w:rsidP="008E5B14">
      <w:pPr>
        <w:jc w:val="right"/>
        <w:rPr>
          <w:rFonts w:ascii="Arial" w:hAnsi="Arial" w:cs="Arial"/>
          <w:sz w:val="26"/>
          <w:szCs w:val="26"/>
        </w:rPr>
      </w:pPr>
    </w:p>
    <w:p w14:paraId="6C338819" w14:textId="77777777" w:rsidR="0057573B" w:rsidRDefault="0057573B" w:rsidP="008E5B14">
      <w:pPr>
        <w:rPr>
          <w:rFonts w:ascii="Arial" w:hAnsi="Arial" w:cs="Arial"/>
          <w:b/>
          <w:bCs/>
          <w:sz w:val="26"/>
          <w:szCs w:val="26"/>
        </w:rPr>
      </w:pPr>
      <w:r w:rsidRPr="0057573B">
        <w:rPr>
          <w:rFonts w:ascii="Arial" w:hAnsi="Arial" w:cs="Arial"/>
          <w:b/>
          <w:bCs/>
          <w:sz w:val="26"/>
          <w:szCs w:val="26"/>
        </w:rPr>
        <w:t>Extract 4: India's Generic Drug Manufacturers: Poised for Continued Growth</w:t>
      </w:r>
    </w:p>
    <w:p w14:paraId="0FF90C77" w14:textId="77777777" w:rsidR="008E5B14" w:rsidRPr="0057573B" w:rsidRDefault="008E5B14" w:rsidP="008E5B14">
      <w:pPr>
        <w:rPr>
          <w:rFonts w:ascii="Arial" w:hAnsi="Arial" w:cs="Arial"/>
          <w:b/>
          <w:bCs/>
          <w:sz w:val="26"/>
          <w:szCs w:val="26"/>
        </w:rPr>
      </w:pPr>
    </w:p>
    <w:p w14:paraId="605FDB90" w14:textId="77777777" w:rsidR="0057573B" w:rsidRDefault="0057573B" w:rsidP="008E5B14">
      <w:pPr>
        <w:jc w:val="both"/>
        <w:rPr>
          <w:rFonts w:ascii="Arial" w:hAnsi="Arial" w:cs="Arial"/>
          <w:sz w:val="26"/>
          <w:szCs w:val="26"/>
        </w:rPr>
      </w:pPr>
      <w:r w:rsidRPr="0057573B">
        <w:rPr>
          <w:rFonts w:ascii="Arial" w:hAnsi="Arial" w:cs="Arial"/>
          <w:sz w:val="26"/>
          <w:szCs w:val="26"/>
        </w:rPr>
        <w:t>Over the last 10 years, the export prowess of India’s generic pharmaceutical industry has reshaped the global pharmaceutical business. Since the 1970s, with the abolition of patent protection rights, India’s pharmaceutical industry has been dominated by home-grown generic drug makers. Indian generic drug makers also managed to gain a foothold in regulated markets such as the US and Europe. In fact, Indian companies are second only to US-based companies in approval of generic drugs, maintainin</w:t>
      </w:r>
      <w:r>
        <w:rPr>
          <w:rFonts w:ascii="Arial" w:hAnsi="Arial" w:cs="Arial"/>
          <w:sz w:val="26"/>
          <w:szCs w:val="26"/>
        </w:rPr>
        <w:t>g a total share of nearly 30%-40</w:t>
      </w:r>
      <w:r w:rsidRPr="0057573B">
        <w:rPr>
          <w:rFonts w:ascii="Arial" w:hAnsi="Arial" w:cs="Arial"/>
          <w:sz w:val="26"/>
          <w:szCs w:val="26"/>
        </w:rPr>
        <w:t xml:space="preserve">% on a consistent basis. </w:t>
      </w:r>
    </w:p>
    <w:p w14:paraId="58771534" w14:textId="77777777" w:rsidR="008E5B14" w:rsidRPr="0057573B" w:rsidRDefault="008E5B14" w:rsidP="008E5B14">
      <w:pPr>
        <w:jc w:val="both"/>
        <w:rPr>
          <w:rFonts w:ascii="Arial" w:hAnsi="Arial" w:cs="Arial"/>
          <w:sz w:val="26"/>
          <w:szCs w:val="26"/>
        </w:rPr>
      </w:pPr>
    </w:p>
    <w:p w14:paraId="6B754953" w14:textId="77777777" w:rsidR="0057573B" w:rsidRDefault="0057573B" w:rsidP="008E5B14">
      <w:pPr>
        <w:jc w:val="both"/>
        <w:rPr>
          <w:rFonts w:ascii="Arial" w:hAnsi="Arial" w:cs="Arial"/>
          <w:sz w:val="26"/>
          <w:szCs w:val="26"/>
        </w:rPr>
      </w:pPr>
      <w:r w:rsidRPr="0057573B">
        <w:rPr>
          <w:rFonts w:ascii="Arial" w:hAnsi="Arial" w:cs="Arial"/>
          <w:sz w:val="26"/>
          <w:szCs w:val="26"/>
        </w:rPr>
        <w:t xml:space="preserve">Countries in the European and African regions are also the prime consumers for Indian generics medicines. Increasing influence of foreign multinationals has become a cause of concern for authorities and market players. At the same time, patent expiries may turn out to be a growth booster. </w:t>
      </w:r>
    </w:p>
    <w:p w14:paraId="0D8AE267" w14:textId="77777777" w:rsidR="008E5B14" w:rsidRPr="0057573B" w:rsidRDefault="008E5B14" w:rsidP="008E5B14">
      <w:pPr>
        <w:jc w:val="both"/>
        <w:rPr>
          <w:rFonts w:ascii="Arial" w:hAnsi="Arial" w:cs="Arial"/>
          <w:sz w:val="26"/>
          <w:szCs w:val="26"/>
        </w:rPr>
      </w:pPr>
    </w:p>
    <w:p w14:paraId="241C369A" w14:textId="77777777" w:rsidR="0057573B" w:rsidRPr="0057573B" w:rsidRDefault="0057573B" w:rsidP="008E5B14">
      <w:pPr>
        <w:jc w:val="both"/>
        <w:rPr>
          <w:rFonts w:ascii="Arial" w:hAnsi="Arial" w:cs="Arial"/>
          <w:sz w:val="26"/>
          <w:szCs w:val="26"/>
        </w:rPr>
      </w:pPr>
      <w:r w:rsidRPr="0057573B">
        <w:rPr>
          <w:rFonts w:ascii="Arial" w:hAnsi="Arial" w:cs="Arial"/>
          <w:sz w:val="26"/>
          <w:szCs w:val="26"/>
        </w:rPr>
        <w:t>However, quality issues are an ongoing challenge for the Indian pharmaceutical industry. US Food and Drug Administration (FDA) has not only increased the frequency of its inspections but also intensified scrutiny on drug manufacturing facilities in India, resulting in delayed product approvals or restrictions in export to the US market.</w:t>
      </w:r>
    </w:p>
    <w:p w14:paraId="696779B9" w14:textId="77777777" w:rsidR="0057573B" w:rsidRPr="0057573B" w:rsidRDefault="0057573B" w:rsidP="008E5B14">
      <w:pPr>
        <w:jc w:val="right"/>
        <w:rPr>
          <w:rFonts w:ascii="Arial" w:hAnsi="Arial" w:cs="Arial"/>
          <w:b/>
          <w:bCs/>
          <w:sz w:val="26"/>
          <w:szCs w:val="26"/>
        </w:rPr>
      </w:pPr>
      <w:r w:rsidRPr="0057573B">
        <w:rPr>
          <w:rFonts w:ascii="Arial" w:hAnsi="Arial" w:cs="Arial"/>
          <w:sz w:val="26"/>
          <w:szCs w:val="26"/>
        </w:rPr>
        <w:t xml:space="preserve">Source: </w:t>
      </w:r>
      <w:r w:rsidRPr="0057573B">
        <w:rPr>
          <w:rFonts w:ascii="Arial" w:hAnsi="Arial" w:cs="Arial"/>
          <w:i/>
          <w:iCs/>
          <w:sz w:val="26"/>
          <w:szCs w:val="26"/>
        </w:rPr>
        <w:t>Nasdaq</w:t>
      </w:r>
      <w:r w:rsidRPr="0057573B">
        <w:rPr>
          <w:rFonts w:ascii="Arial" w:hAnsi="Arial" w:cs="Arial"/>
          <w:sz w:val="26"/>
          <w:szCs w:val="26"/>
        </w:rPr>
        <w:t>, 29 February 2016</w:t>
      </w:r>
    </w:p>
    <w:p w14:paraId="41B5AEDC" w14:textId="77777777" w:rsidR="0057573B" w:rsidRDefault="0057573B" w:rsidP="008E5B14">
      <w:pPr>
        <w:rPr>
          <w:rFonts w:ascii="Arial" w:hAnsi="Arial" w:cs="Arial"/>
          <w:b/>
          <w:bCs/>
          <w:sz w:val="26"/>
          <w:szCs w:val="26"/>
        </w:rPr>
      </w:pPr>
      <w:r>
        <w:rPr>
          <w:rFonts w:ascii="Arial" w:hAnsi="Arial" w:cs="Arial"/>
          <w:b/>
          <w:bCs/>
          <w:sz w:val="26"/>
          <w:szCs w:val="26"/>
        </w:rPr>
        <w:br w:type="page"/>
      </w:r>
    </w:p>
    <w:p w14:paraId="7202030A" w14:textId="77777777" w:rsidR="0057573B" w:rsidRDefault="0057573B" w:rsidP="008E5B14">
      <w:pPr>
        <w:rPr>
          <w:rFonts w:ascii="Arial" w:hAnsi="Arial" w:cs="Arial"/>
          <w:b/>
          <w:bCs/>
          <w:sz w:val="26"/>
          <w:szCs w:val="26"/>
        </w:rPr>
      </w:pPr>
      <w:r w:rsidRPr="0057573B">
        <w:rPr>
          <w:rFonts w:ascii="Arial" w:hAnsi="Arial" w:cs="Arial"/>
          <w:b/>
          <w:bCs/>
          <w:sz w:val="26"/>
          <w:szCs w:val="26"/>
        </w:rPr>
        <w:t xml:space="preserve">Extract 5: Is </w:t>
      </w:r>
      <w:proofErr w:type="gramStart"/>
      <w:r w:rsidRPr="0057573B">
        <w:rPr>
          <w:rFonts w:ascii="Arial" w:hAnsi="Arial" w:cs="Arial"/>
          <w:b/>
          <w:bCs/>
          <w:sz w:val="26"/>
          <w:szCs w:val="26"/>
        </w:rPr>
        <w:t>The</w:t>
      </w:r>
      <w:proofErr w:type="gramEnd"/>
      <w:r w:rsidRPr="0057573B">
        <w:rPr>
          <w:rFonts w:ascii="Arial" w:hAnsi="Arial" w:cs="Arial"/>
          <w:b/>
          <w:bCs/>
          <w:sz w:val="26"/>
          <w:szCs w:val="26"/>
        </w:rPr>
        <w:t xml:space="preserve"> Golden Era Of Pharmaceutical Profits Over?</w:t>
      </w:r>
    </w:p>
    <w:p w14:paraId="523B7DA9" w14:textId="77777777" w:rsidR="008E5B14" w:rsidRPr="0057573B" w:rsidRDefault="008E5B14" w:rsidP="008E5B14">
      <w:pPr>
        <w:rPr>
          <w:rFonts w:ascii="Arial" w:hAnsi="Arial" w:cs="Arial"/>
          <w:b/>
          <w:bCs/>
          <w:sz w:val="26"/>
          <w:szCs w:val="26"/>
        </w:rPr>
      </w:pPr>
    </w:p>
    <w:p w14:paraId="4F508CF1" w14:textId="77777777" w:rsidR="0057573B" w:rsidRDefault="0057573B" w:rsidP="008E5B14">
      <w:pPr>
        <w:jc w:val="both"/>
        <w:rPr>
          <w:rFonts w:ascii="Arial" w:hAnsi="Arial" w:cs="Arial"/>
          <w:sz w:val="26"/>
          <w:szCs w:val="26"/>
        </w:rPr>
      </w:pPr>
      <w:r w:rsidRPr="0057573B">
        <w:rPr>
          <w:rFonts w:ascii="Arial" w:hAnsi="Arial" w:cs="Arial"/>
          <w:sz w:val="26"/>
          <w:szCs w:val="26"/>
        </w:rPr>
        <w:t xml:space="preserve">For decades, the pharmaceutical industry has been highly profitable. The recipe for such profits has been pretty simple for most of the last half-century – discover a chemical or molecule that treats a common problem, like hypertension or diabetes and make billions of dollars while that product is still under patent protection. But of course, profits were never so simple. It takes billions of dollars to develop one new drug suitable for testing in humans and even then, the drug might turn out to be too toxic or to have too little benefit to make it on to the market. It might take a handful of such drugs before a company finally finds one that works to recover the rising cost of new drug development. With the number of common illnesses in need of interventions dwindling and competition from generic manufacturers, it is getting increasingly difficult to earn enough to make up for the competition and cost of innovation. </w:t>
      </w:r>
    </w:p>
    <w:p w14:paraId="603BDD81" w14:textId="77777777" w:rsidR="008E5B14" w:rsidRPr="0057573B" w:rsidRDefault="008E5B14" w:rsidP="008E5B14">
      <w:pPr>
        <w:jc w:val="both"/>
        <w:rPr>
          <w:rFonts w:ascii="Arial" w:hAnsi="Arial" w:cs="Arial"/>
          <w:sz w:val="26"/>
          <w:szCs w:val="26"/>
        </w:rPr>
      </w:pPr>
    </w:p>
    <w:p w14:paraId="73AD838A" w14:textId="77777777" w:rsidR="0057573B" w:rsidRPr="0057573B" w:rsidRDefault="0057573B" w:rsidP="008E5B14">
      <w:pPr>
        <w:jc w:val="right"/>
        <w:rPr>
          <w:rFonts w:ascii="Arial" w:hAnsi="Arial" w:cs="Arial"/>
          <w:b/>
          <w:bCs/>
          <w:sz w:val="26"/>
          <w:szCs w:val="26"/>
        </w:rPr>
      </w:pPr>
      <w:r w:rsidRPr="0057573B">
        <w:rPr>
          <w:rFonts w:ascii="Arial" w:hAnsi="Arial" w:cs="Arial"/>
          <w:sz w:val="26"/>
          <w:szCs w:val="26"/>
        </w:rPr>
        <w:t xml:space="preserve">Source: </w:t>
      </w:r>
      <w:r w:rsidRPr="0057573B">
        <w:rPr>
          <w:rFonts w:ascii="Arial" w:hAnsi="Arial" w:cs="Arial"/>
          <w:i/>
          <w:iCs/>
          <w:sz w:val="26"/>
          <w:szCs w:val="26"/>
        </w:rPr>
        <w:t>Forbes</w:t>
      </w:r>
      <w:r w:rsidRPr="0057573B">
        <w:rPr>
          <w:rFonts w:ascii="Arial" w:hAnsi="Arial" w:cs="Arial"/>
          <w:sz w:val="26"/>
          <w:szCs w:val="26"/>
        </w:rPr>
        <w:t>, 29 July 2016</w:t>
      </w:r>
    </w:p>
    <w:p w14:paraId="629C31A1" w14:textId="77777777" w:rsidR="0057573B" w:rsidRPr="0057573B" w:rsidRDefault="0057573B" w:rsidP="008E5B14">
      <w:pPr>
        <w:rPr>
          <w:rFonts w:ascii="Arial" w:hAnsi="Arial" w:cs="Arial"/>
          <w:b/>
          <w:bCs/>
          <w:sz w:val="26"/>
          <w:szCs w:val="26"/>
        </w:rPr>
      </w:pPr>
      <w:r w:rsidRPr="0057573B">
        <w:rPr>
          <w:rFonts w:ascii="Arial" w:hAnsi="Arial" w:cs="Arial"/>
          <w:b/>
          <w:bCs/>
          <w:sz w:val="26"/>
          <w:szCs w:val="26"/>
        </w:rPr>
        <w:t>Questions</w:t>
      </w:r>
    </w:p>
    <w:tbl>
      <w:tblPr>
        <w:tblW w:w="9776" w:type="dxa"/>
        <w:jc w:val="center"/>
        <w:tblLayout w:type="fixed"/>
        <w:tblLook w:val="04A0" w:firstRow="1" w:lastRow="0" w:firstColumn="1" w:lastColumn="0" w:noHBand="0" w:noVBand="1"/>
      </w:tblPr>
      <w:tblGrid>
        <w:gridCol w:w="562"/>
        <w:gridCol w:w="567"/>
        <w:gridCol w:w="8647"/>
      </w:tblGrid>
      <w:tr w:rsidR="0057573B" w:rsidRPr="0057573B" w14:paraId="0058913B" w14:textId="77777777" w:rsidTr="0025258E">
        <w:trPr>
          <w:trHeight w:val="740"/>
          <w:jc w:val="center"/>
        </w:trPr>
        <w:tc>
          <w:tcPr>
            <w:tcW w:w="562" w:type="dxa"/>
          </w:tcPr>
          <w:p w14:paraId="1D28C7EE" w14:textId="77777777" w:rsidR="0057573B" w:rsidRPr="0057573B" w:rsidRDefault="0057573B" w:rsidP="008E5B14">
            <w:pPr>
              <w:rPr>
                <w:rFonts w:ascii="Arial" w:hAnsi="Arial" w:cs="Arial"/>
                <w:b/>
                <w:bCs/>
                <w:sz w:val="26"/>
                <w:szCs w:val="26"/>
                <w:lang w:val="en-SG"/>
              </w:rPr>
            </w:pPr>
            <w:r w:rsidRPr="0057573B">
              <w:rPr>
                <w:rFonts w:ascii="Arial" w:hAnsi="Arial" w:cs="Arial"/>
                <w:b/>
                <w:bCs/>
                <w:sz w:val="26"/>
                <w:szCs w:val="26"/>
                <w:lang w:val="en-SG"/>
              </w:rPr>
              <w:t>(a)</w:t>
            </w:r>
          </w:p>
        </w:tc>
        <w:tc>
          <w:tcPr>
            <w:tcW w:w="9214" w:type="dxa"/>
            <w:gridSpan w:val="2"/>
          </w:tcPr>
          <w:p w14:paraId="408AB227" w14:textId="77777777" w:rsidR="0057573B" w:rsidRDefault="0057573B" w:rsidP="008E5B14">
            <w:pPr>
              <w:jc w:val="both"/>
              <w:rPr>
                <w:rFonts w:ascii="Arial" w:hAnsi="Arial" w:cs="Arial"/>
                <w:sz w:val="26"/>
                <w:szCs w:val="26"/>
                <w:lang w:val="en-SG"/>
              </w:rPr>
            </w:pPr>
            <w:r w:rsidRPr="0057573B">
              <w:rPr>
                <w:rFonts w:ascii="Arial" w:hAnsi="Arial" w:cs="Arial"/>
                <w:sz w:val="26"/>
                <w:szCs w:val="26"/>
                <w:lang w:val="en-SG"/>
              </w:rPr>
              <w:t xml:space="preserve">In extract 1, it is mentioned that San Francisco Bay Area and Northern California have the largest concentration of biotech companies in the nation. </w:t>
            </w:r>
          </w:p>
          <w:p w14:paraId="23E160F4" w14:textId="77777777" w:rsidR="0057573B" w:rsidRDefault="0057573B" w:rsidP="008E5B14">
            <w:pPr>
              <w:jc w:val="both"/>
              <w:rPr>
                <w:rFonts w:ascii="Arial" w:hAnsi="Arial" w:cs="Arial"/>
                <w:sz w:val="26"/>
                <w:szCs w:val="26"/>
                <w:lang w:val="en-SG"/>
              </w:rPr>
            </w:pPr>
            <w:r w:rsidRPr="0057573B">
              <w:rPr>
                <w:rFonts w:ascii="Arial" w:hAnsi="Arial" w:cs="Arial"/>
                <w:sz w:val="26"/>
                <w:szCs w:val="26"/>
                <w:lang w:val="en-SG"/>
              </w:rPr>
              <w:t>Explain how this might bring about cost savings to the biotech companies.</w:t>
            </w:r>
            <w:r>
              <w:rPr>
                <w:rFonts w:ascii="Arial" w:hAnsi="Arial" w:cs="Arial"/>
                <w:sz w:val="26"/>
                <w:szCs w:val="26"/>
                <w:lang w:val="en-SG"/>
              </w:rPr>
              <w:t xml:space="preserve"> [4]</w:t>
            </w:r>
          </w:p>
          <w:p w14:paraId="185141DE" w14:textId="77777777" w:rsidR="008E5B14" w:rsidRPr="0057573B" w:rsidRDefault="008E5B14" w:rsidP="008E5B14">
            <w:pPr>
              <w:jc w:val="both"/>
              <w:rPr>
                <w:rFonts w:ascii="Arial" w:hAnsi="Arial" w:cs="Arial"/>
                <w:sz w:val="26"/>
                <w:szCs w:val="26"/>
                <w:lang w:val="en-SG"/>
              </w:rPr>
            </w:pPr>
          </w:p>
        </w:tc>
      </w:tr>
      <w:tr w:rsidR="0057573B" w:rsidRPr="0057573B" w14:paraId="6A2215CD" w14:textId="77777777" w:rsidTr="0025258E">
        <w:trPr>
          <w:trHeight w:val="850"/>
          <w:jc w:val="center"/>
        </w:trPr>
        <w:tc>
          <w:tcPr>
            <w:tcW w:w="562" w:type="dxa"/>
          </w:tcPr>
          <w:p w14:paraId="60C84505" w14:textId="77777777" w:rsidR="0057573B" w:rsidRPr="0057573B" w:rsidRDefault="0057573B" w:rsidP="008E5B14">
            <w:pPr>
              <w:rPr>
                <w:rFonts w:ascii="Arial" w:hAnsi="Arial" w:cs="Arial"/>
                <w:b/>
                <w:bCs/>
                <w:sz w:val="26"/>
                <w:szCs w:val="26"/>
                <w:lang w:val="en-SG"/>
              </w:rPr>
            </w:pPr>
            <w:r w:rsidRPr="0057573B">
              <w:rPr>
                <w:rFonts w:ascii="Arial" w:hAnsi="Arial" w:cs="Arial"/>
                <w:b/>
                <w:bCs/>
                <w:sz w:val="26"/>
                <w:szCs w:val="26"/>
                <w:lang w:val="en-SG"/>
              </w:rPr>
              <w:t>(b)</w:t>
            </w:r>
          </w:p>
        </w:tc>
        <w:tc>
          <w:tcPr>
            <w:tcW w:w="567" w:type="dxa"/>
          </w:tcPr>
          <w:p w14:paraId="7E0CC0AF" w14:textId="77777777" w:rsidR="0057573B" w:rsidRPr="0057573B" w:rsidRDefault="0057573B" w:rsidP="008E5B14">
            <w:pPr>
              <w:jc w:val="both"/>
              <w:rPr>
                <w:rFonts w:ascii="Arial" w:hAnsi="Arial" w:cs="Arial"/>
                <w:b/>
                <w:bCs/>
                <w:sz w:val="26"/>
                <w:szCs w:val="26"/>
                <w:lang w:val="en-SG"/>
              </w:rPr>
            </w:pPr>
            <w:r w:rsidRPr="0057573B">
              <w:rPr>
                <w:rFonts w:ascii="Arial" w:hAnsi="Arial" w:cs="Arial"/>
                <w:b/>
                <w:bCs/>
                <w:sz w:val="26"/>
                <w:szCs w:val="26"/>
                <w:lang w:val="en-SG"/>
              </w:rPr>
              <w:t>(</w:t>
            </w:r>
            <w:proofErr w:type="spellStart"/>
            <w:r w:rsidRPr="0057573B">
              <w:rPr>
                <w:rFonts w:ascii="Arial" w:hAnsi="Arial" w:cs="Arial"/>
                <w:b/>
                <w:bCs/>
                <w:sz w:val="26"/>
                <w:szCs w:val="26"/>
                <w:lang w:val="en-SG"/>
              </w:rPr>
              <w:t>i</w:t>
            </w:r>
            <w:proofErr w:type="spellEnd"/>
            <w:r w:rsidRPr="0057573B">
              <w:rPr>
                <w:rFonts w:ascii="Arial" w:hAnsi="Arial" w:cs="Arial"/>
                <w:b/>
                <w:bCs/>
                <w:sz w:val="26"/>
                <w:szCs w:val="26"/>
                <w:lang w:val="en-SG"/>
              </w:rPr>
              <w:t>)</w:t>
            </w:r>
          </w:p>
        </w:tc>
        <w:tc>
          <w:tcPr>
            <w:tcW w:w="8647" w:type="dxa"/>
          </w:tcPr>
          <w:p w14:paraId="4A48E911" w14:textId="77777777" w:rsidR="0057573B" w:rsidRPr="0057573B" w:rsidRDefault="0057573B" w:rsidP="008E5B14">
            <w:pPr>
              <w:jc w:val="both"/>
              <w:rPr>
                <w:rFonts w:ascii="Arial" w:hAnsi="Arial" w:cs="Arial"/>
                <w:sz w:val="26"/>
                <w:szCs w:val="26"/>
                <w:lang w:val="en-SG"/>
              </w:rPr>
            </w:pPr>
            <w:r w:rsidRPr="0057573B">
              <w:rPr>
                <w:rFonts w:ascii="Arial" w:hAnsi="Arial" w:cs="Arial"/>
                <w:sz w:val="26"/>
                <w:szCs w:val="26"/>
                <w:lang w:val="en-SG"/>
              </w:rPr>
              <w:t>Describe the trend in projected total worldwide pharmaceutical</w:t>
            </w:r>
            <w:r>
              <w:rPr>
                <w:rFonts w:ascii="Arial" w:hAnsi="Arial" w:cs="Arial"/>
                <w:sz w:val="26"/>
                <w:szCs w:val="26"/>
                <w:lang w:val="en-SG"/>
              </w:rPr>
              <w:t xml:space="preserve"> R&amp;D spending from 2016 to 2022. </w:t>
            </w:r>
            <w:r w:rsidRPr="0057573B">
              <w:rPr>
                <w:rFonts w:ascii="Arial" w:hAnsi="Arial" w:cs="Arial"/>
                <w:sz w:val="26"/>
                <w:szCs w:val="26"/>
                <w:lang w:val="en-SG"/>
              </w:rPr>
              <w:t>[2]</w:t>
            </w:r>
          </w:p>
        </w:tc>
      </w:tr>
      <w:tr w:rsidR="0057573B" w:rsidRPr="0057573B" w14:paraId="75870E19" w14:textId="77777777" w:rsidTr="0025258E">
        <w:trPr>
          <w:trHeight w:val="565"/>
          <w:jc w:val="center"/>
        </w:trPr>
        <w:tc>
          <w:tcPr>
            <w:tcW w:w="562" w:type="dxa"/>
          </w:tcPr>
          <w:p w14:paraId="38AB5781" w14:textId="77777777" w:rsidR="0057573B" w:rsidRPr="0057573B" w:rsidRDefault="0057573B" w:rsidP="008E5B14">
            <w:pPr>
              <w:rPr>
                <w:rFonts w:ascii="Arial" w:hAnsi="Arial" w:cs="Arial"/>
                <w:b/>
                <w:bCs/>
                <w:sz w:val="26"/>
                <w:szCs w:val="26"/>
                <w:lang w:val="en-SG"/>
              </w:rPr>
            </w:pPr>
          </w:p>
        </w:tc>
        <w:tc>
          <w:tcPr>
            <w:tcW w:w="567" w:type="dxa"/>
          </w:tcPr>
          <w:p w14:paraId="2048B746" w14:textId="77777777" w:rsidR="0057573B" w:rsidRPr="0057573B" w:rsidRDefault="0057573B" w:rsidP="008E5B14">
            <w:pPr>
              <w:jc w:val="both"/>
              <w:rPr>
                <w:rFonts w:ascii="Arial" w:hAnsi="Arial" w:cs="Arial"/>
                <w:b/>
                <w:bCs/>
                <w:sz w:val="26"/>
                <w:szCs w:val="26"/>
                <w:lang w:val="en-SG"/>
              </w:rPr>
            </w:pPr>
            <w:r w:rsidRPr="0057573B">
              <w:rPr>
                <w:rFonts w:ascii="Arial" w:hAnsi="Arial" w:cs="Arial"/>
                <w:b/>
                <w:bCs/>
                <w:sz w:val="26"/>
                <w:szCs w:val="26"/>
                <w:lang w:val="en-SG"/>
              </w:rPr>
              <w:t>(ii)</w:t>
            </w:r>
          </w:p>
        </w:tc>
        <w:tc>
          <w:tcPr>
            <w:tcW w:w="8647" w:type="dxa"/>
          </w:tcPr>
          <w:p w14:paraId="20ABAFE1" w14:textId="77777777" w:rsidR="0057573B" w:rsidRPr="0057573B" w:rsidRDefault="0057573B" w:rsidP="008E5B14">
            <w:pPr>
              <w:jc w:val="both"/>
              <w:rPr>
                <w:rFonts w:ascii="Arial" w:hAnsi="Arial" w:cs="Arial"/>
                <w:sz w:val="26"/>
                <w:szCs w:val="26"/>
                <w:lang w:val="en-SG"/>
              </w:rPr>
            </w:pPr>
            <w:r w:rsidRPr="0057573B">
              <w:rPr>
                <w:rFonts w:ascii="Arial" w:hAnsi="Arial" w:cs="Arial"/>
                <w:sz w:val="26"/>
                <w:szCs w:val="26"/>
                <w:lang w:val="en-SG"/>
              </w:rPr>
              <w:t>Explain one reason for the trend observed above. [2]</w:t>
            </w:r>
          </w:p>
        </w:tc>
      </w:tr>
      <w:tr w:rsidR="0057573B" w:rsidRPr="0057573B" w14:paraId="47F1289C" w14:textId="77777777" w:rsidTr="0025258E">
        <w:trPr>
          <w:trHeight w:val="323"/>
          <w:jc w:val="center"/>
        </w:trPr>
        <w:tc>
          <w:tcPr>
            <w:tcW w:w="562" w:type="dxa"/>
          </w:tcPr>
          <w:p w14:paraId="5934BA3C" w14:textId="77777777" w:rsidR="0057573B" w:rsidRPr="0057573B" w:rsidRDefault="0057573B" w:rsidP="008E5B14">
            <w:pPr>
              <w:rPr>
                <w:rFonts w:ascii="Arial" w:hAnsi="Arial" w:cs="Arial"/>
                <w:b/>
                <w:bCs/>
                <w:sz w:val="26"/>
                <w:szCs w:val="26"/>
                <w:lang w:val="en-SG"/>
              </w:rPr>
            </w:pPr>
            <w:r w:rsidRPr="0057573B">
              <w:rPr>
                <w:rFonts w:ascii="Arial" w:hAnsi="Arial" w:cs="Arial"/>
                <w:b/>
                <w:bCs/>
                <w:sz w:val="26"/>
                <w:szCs w:val="26"/>
                <w:lang w:val="en-SG"/>
              </w:rPr>
              <w:t>(c)</w:t>
            </w:r>
          </w:p>
        </w:tc>
        <w:tc>
          <w:tcPr>
            <w:tcW w:w="9214" w:type="dxa"/>
            <w:gridSpan w:val="2"/>
          </w:tcPr>
          <w:p w14:paraId="56D97207" w14:textId="77777777" w:rsidR="0057573B" w:rsidRDefault="0057573B" w:rsidP="008E5B14">
            <w:pPr>
              <w:jc w:val="both"/>
              <w:rPr>
                <w:rFonts w:ascii="Arial" w:hAnsi="Arial" w:cs="Arial"/>
                <w:sz w:val="26"/>
                <w:szCs w:val="26"/>
                <w:lang w:val="en-SG"/>
              </w:rPr>
            </w:pPr>
            <w:r w:rsidRPr="0057573B">
              <w:rPr>
                <w:rFonts w:ascii="Arial" w:hAnsi="Arial" w:cs="Arial"/>
                <w:sz w:val="26"/>
                <w:szCs w:val="26"/>
                <w:lang w:val="en-SG"/>
              </w:rPr>
              <w:t xml:space="preserve">Explain how the entry of generic drugs manufacturers after expiration of patent “reduces society’s deadweight losses” from monopoly </w:t>
            </w:r>
            <w:r>
              <w:rPr>
                <w:rFonts w:ascii="Arial" w:hAnsi="Arial" w:cs="Arial"/>
                <w:sz w:val="26"/>
                <w:szCs w:val="26"/>
                <w:lang w:val="en-SG"/>
              </w:rPr>
              <w:t xml:space="preserve">pricing under patent. </w:t>
            </w:r>
            <w:r w:rsidRPr="0057573B">
              <w:rPr>
                <w:rFonts w:ascii="Arial" w:hAnsi="Arial" w:cs="Arial"/>
                <w:sz w:val="26"/>
                <w:szCs w:val="26"/>
                <w:lang w:val="en-SG"/>
              </w:rPr>
              <w:t>[4]</w:t>
            </w:r>
          </w:p>
          <w:p w14:paraId="6EF85566" w14:textId="77777777" w:rsidR="008E5B14" w:rsidRPr="0057573B" w:rsidRDefault="008E5B14" w:rsidP="008E5B14">
            <w:pPr>
              <w:jc w:val="both"/>
              <w:rPr>
                <w:rFonts w:ascii="Arial" w:hAnsi="Arial" w:cs="Arial"/>
                <w:sz w:val="26"/>
                <w:szCs w:val="26"/>
                <w:lang w:val="en-SG"/>
              </w:rPr>
            </w:pPr>
          </w:p>
        </w:tc>
      </w:tr>
      <w:tr w:rsidR="0057573B" w:rsidRPr="0057573B" w14:paraId="6EF22AAA" w14:textId="77777777" w:rsidTr="0025258E">
        <w:trPr>
          <w:trHeight w:val="323"/>
          <w:jc w:val="center"/>
        </w:trPr>
        <w:tc>
          <w:tcPr>
            <w:tcW w:w="562" w:type="dxa"/>
          </w:tcPr>
          <w:p w14:paraId="09AFBA92" w14:textId="77777777" w:rsidR="0057573B" w:rsidRPr="0057573B" w:rsidRDefault="0057573B" w:rsidP="008E5B14">
            <w:pPr>
              <w:rPr>
                <w:rFonts w:ascii="Arial" w:hAnsi="Arial" w:cs="Arial"/>
                <w:b/>
                <w:bCs/>
                <w:sz w:val="26"/>
                <w:szCs w:val="26"/>
                <w:lang w:val="en-SG"/>
              </w:rPr>
            </w:pPr>
            <w:r w:rsidRPr="0057573B">
              <w:rPr>
                <w:rFonts w:ascii="Arial" w:hAnsi="Arial" w:cs="Arial"/>
                <w:b/>
                <w:bCs/>
                <w:sz w:val="26"/>
                <w:szCs w:val="26"/>
                <w:lang w:val="en-SG"/>
              </w:rPr>
              <w:t>(d)</w:t>
            </w:r>
          </w:p>
        </w:tc>
        <w:tc>
          <w:tcPr>
            <w:tcW w:w="9214" w:type="dxa"/>
            <w:gridSpan w:val="2"/>
          </w:tcPr>
          <w:p w14:paraId="35953AF9" w14:textId="77777777" w:rsidR="0057573B" w:rsidRDefault="0057573B" w:rsidP="008E5B14">
            <w:pPr>
              <w:jc w:val="both"/>
              <w:rPr>
                <w:rFonts w:ascii="Arial" w:hAnsi="Arial" w:cs="Arial"/>
                <w:sz w:val="26"/>
                <w:szCs w:val="26"/>
                <w:lang w:val="en-SG"/>
              </w:rPr>
            </w:pPr>
            <w:r w:rsidRPr="0057573B">
              <w:rPr>
                <w:rFonts w:ascii="Arial" w:hAnsi="Arial" w:cs="Arial"/>
                <w:sz w:val="26"/>
                <w:szCs w:val="26"/>
                <w:lang w:val="en-SG"/>
              </w:rPr>
              <w:t>Discuss the macroeconomic impact of the rise of India’s generic pharmaceutical industry on US and India. [8]</w:t>
            </w:r>
          </w:p>
          <w:p w14:paraId="39042452" w14:textId="77777777" w:rsidR="008E5B14" w:rsidRPr="0057573B" w:rsidRDefault="008E5B14" w:rsidP="008E5B14">
            <w:pPr>
              <w:jc w:val="both"/>
              <w:rPr>
                <w:rFonts w:ascii="Arial" w:hAnsi="Arial" w:cs="Arial"/>
                <w:sz w:val="26"/>
                <w:szCs w:val="26"/>
                <w:lang w:val="en-SG"/>
              </w:rPr>
            </w:pPr>
          </w:p>
        </w:tc>
      </w:tr>
      <w:tr w:rsidR="0057573B" w:rsidRPr="0057573B" w14:paraId="3B12CA72" w14:textId="77777777" w:rsidTr="0025258E">
        <w:trPr>
          <w:trHeight w:val="323"/>
          <w:jc w:val="center"/>
        </w:trPr>
        <w:tc>
          <w:tcPr>
            <w:tcW w:w="562" w:type="dxa"/>
          </w:tcPr>
          <w:p w14:paraId="5B5BA388" w14:textId="77777777" w:rsidR="0057573B" w:rsidRPr="0057573B" w:rsidRDefault="0057573B" w:rsidP="008E5B14">
            <w:pPr>
              <w:rPr>
                <w:rFonts w:ascii="Arial" w:hAnsi="Arial" w:cs="Arial"/>
                <w:b/>
                <w:bCs/>
                <w:sz w:val="26"/>
                <w:szCs w:val="26"/>
                <w:lang w:val="en-SG"/>
              </w:rPr>
            </w:pPr>
            <w:r w:rsidRPr="0057573B">
              <w:rPr>
                <w:rFonts w:ascii="Arial" w:hAnsi="Arial" w:cs="Arial"/>
                <w:b/>
                <w:bCs/>
                <w:sz w:val="26"/>
                <w:szCs w:val="26"/>
                <w:lang w:val="en-SG"/>
              </w:rPr>
              <w:t>(e)</w:t>
            </w:r>
          </w:p>
        </w:tc>
        <w:tc>
          <w:tcPr>
            <w:tcW w:w="9214" w:type="dxa"/>
            <w:gridSpan w:val="2"/>
          </w:tcPr>
          <w:p w14:paraId="659D8846" w14:textId="77777777" w:rsidR="0057573B" w:rsidRDefault="0057573B" w:rsidP="008E5B14">
            <w:pPr>
              <w:jc w:val="both"/>
              <w:rPr>
                <w:rFonts w:ascii="Arial" w:hAnsi="Arial" w:cs="Arial"/>
                <w:sz w:val="26"/>
                <w:szCs w:val="26"/>
                <w:lang w:val="en-SG"/>
              </w:rPr>
            </w:pPr>
            <w:r w:rsidRPr="0057573B">
              <w:rPr>
                <w:rFonts w:ascii="Arial" w:hAnsi="Arial" w:cs="Arial"/>
                <w:sz w:val="26"/>
                <w:szCs w:val="26"/>
                <w:lang w:val="en-SG"/>
              </w:rPr>
              <w:t>The case study highlights various benefits and costs of the pharmaceutical industry to society.</w:t>
            </w:r>
          </w:p>
          <w:p w14:paraId="6781C689" w14:textId="77777777" w:rsidR="008E5B14" w:rsidRPr="0057573B" w:rsidRDefault="008E5B14" w:rsidP="008E5B14">
            <w:pPr>
              <w:jc w:val="both"/>
              <w:rPr>
                <w:rFonts w:ascii="Arial" w:hAnsi="Arial" w:cs="Arial"/>
                <w:sz w:val="26"/>
                <w:szCs w:val="26"/>
                <w:lang w:val="en-SG"/>
              </w:rPr>
            </w:pPr>
          </w:p>
          <w:p w14:paraId="78AA5F31" w14:textId="77777777" w:rsidR="0057573B" w:rsidRPr="0057573B" w:rsidRDefault="0057573B" w:rsidP="008E5B14">
            <w:pPr>
              <w:jc w:val="both"/>
              <w:rPr>
                <w:rFonts w:ascii="Arial" w:hAnsi="Arial" w:cs="Arial"/>
                <w:sz w:val="26"/>
                <w:szCs w:val="26"/>
                <w:lang w:val="en-SG"/>
              </w:rPr>
            </w:pPr>
            <w:r w:rsidRPr="0057573B">
              <w:rPr>
                <w:rFonts w:ascii="Arial" w:hAnsi="Arial" w:cs="Arial"/>
                <w:sz w:val="26"/>
                <w:szCs w:val="26"/>
                <w:lang w:val="en-SG"/>
              </w:rPr>
              <w:t>Assess whether regulation through patent is the most appropriate form of government intervention in the pharmaceutical industry to maximise benefits to society.</w:t>
            </w:r>
            <w:r>
              <w:rPr>
                <w:rFonts w:ascii="Arial" w:hAnsi="Arial" w:cs="Arial"/>
                <w:sz w:val="26"/>
                <w:szCs w:val="26"/>
                <w:lang w:val="en-SG"/>
              </w:rPr>
              <w:t xml:space="preserve"> [10]</w:t>
            </w:r>
          </w:p>
        </w:tc>
      </w:tr>
      <w:tr w:rsidR="0057573B" w:rsidRPr="0057573B" w14:paraId="5B4D9390" w14:textId="77777777" w:rsidTr="0025258E">
        <w:trPr>
          <w:trHeight w:val="323"/>
          <w:jc w:val="center"/>
        </w:trPr>
        <w:tc>
          <w:tcPr>
            <w:tcW w:w="9776" w:type="dxa"/>
            <w:gridSpan w:val="3"/>
          </w:tcPr>
          <w:p w14:paraId="5AED43C4" w14:textId="77777777" w:rsidR="0057573B" w:rsidRPr="0057573B" w:rsidRDefault="0057573B" w:rsidP="008E5B14">
            <w:pPr>
              <w:jc w:val="right"/>
              <w:rPr>
                <w:rFonts w:ascii="Arial" w:hAnsi="Arial" w:cs="Arial"/>
                <w:sz w:val="26"/>
                <w:szCs w:val="26"/>
                <w:lang w:val="en-SG"/>
              </w:rPr>
            </w:pPr>
            <w:r w:rsidRPr="0057573B">
              <w:rPr>
                <w:rFonts w:ascii="Arial" w:hAnsi="Arial" w:cs="Arial"/>
                <w:sz w:val="26"/>
                <w:szCs w:val="26"/>
                <w:lang w:val="en-SG"/>
              </w:rPr>
              <w:t>[Total 30 marks]</w:t>
            </w:r>
          </w:p>
        </w:tc>
      </w:tr>
      <w:tr w:rsidR="0057573B" w:rsidRPr="0057573B" w14:paraId="3735355F" w14:textId="77777777" w:rsidTr="0025258E">
        <w:trPr>
          <w:trHeight w:val="323"/>
          <w:jc w:val="center"/>
        </w:trPr>
        <w:tc>
          <w:tcPr>
            <w:tcW w:w="9776" w:type="dxa"/>
            <w:gridSpan w:val="3"/>
          </w:tcPr>
          <w:p w14:paraId="4A22E197" w14:textId="77777777" w:rsidR="0057573B" w:rsidRPr="0057573B" w:rsidRDefault="0057573B" w:rsidP="008E5B14">
            <w:pPr>
              <w:rPr>
                <w:rFonts w:ascii="Arial" w:hAnsi="Arial" w:cs="Arial"/>
                <w:sz w:val="26"/>
                <w:szCs w:val="26"/>
                <w:lang w:val="en-SG"/>
              </w:rPr>
            </w:pPr>
          </w:p>
        </w:tc>
      </w:tr>
    </w:tbl>
    <w:p w14:paraId="0F4D5D59" w14:textId="77777777" w:rsidR="0057573B" w:rsidRDefault="0057573B" w:rsidP="008E5B14">
      <w:pPr>
        <w:rPr>
          <w:rFonts w:ascii="Arial" w:hAnsi="Arial" w:cs="Arial"/>
          <w:sz w:val="26"/>
          <w:szCs w:val="26"/>
          <w:lang w:val="en-SG"/>
        </w:rPr>
      </w:pPr>
      <w:r>
        <w:rPr>
          <w:rFonts w:ascii="Arial" w:hAnsi="Arial" w:cs="Arial"/>
          <w:sz w:val="26"/>
          <w:szCs w:val="26"/>
          <w:lang w:val="en-SG"/>
        </w:rPr>
        <w:br w:type="page"/>
      </w:r>
    </w:p>
    <w:sectPr w:rsidR="0057573B" w:rsidSect="00987EC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15F4A" w14:textId="77777777" w:rsidR="00D5049A" w:rsidRDefault="00D5049A" w:rsidP="00566AB3">
      <w:r>
        <w:separator/>
      </w:r>
    </w:p>
  </w:endnote>
  <w:endnote w:type="continuationSeparator" w:id="0">
    <w:p w14:paraId="6931F39D" w14:textId="77777777" w:rsidR="00D5049A" w:rsidRDefault="00D5049A"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37D7" w14:textId="77777777" w:rsidR="007304CF" w:rsidRDefault="007304CF"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12C9F220" w14:textId="77777777" w:rsidR="007304CF" w:rsidRDefault="007304CF"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685A5FE2" w14:textId="77777777" w:rsidR="007304CF" w:rsidRPr="00366349" w:rsidRDefault="007304CF"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8A930" w14:textId="77777777" w:rsidR="00D5049A" w:rsidRDefault="00D5049A" w:rsidP="00566AB3">
      <w:r>
        <w:separator/>
      </w:r>
    </w:p>
  </w:footnote>
  <w:footnote w:type="continuationSeparator" w:id="0">
    <w:p w14:paraId="07AF934E" w14:textId="77777777" w:rsidR="00D5049A" w:rsidRDefault="00D5049A"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27755FD" w14:textId="77777777" w:rsidR="007304CF" w:rsidRPr="005E0FEE" w:rsidRDefault="007304CF" w:rsidP="005E0FEE">
        <w:pPr>
          <w:pStyle w:val="Header"/>
          <w:pBdr>
            <w:bottom w:val="single" w:sz="4" w:space="1" w:color="D9D9D9" w:themeColor="background1" w:themeShade="D9"/>
          </w:pBdr>
          <w:jc w:val="right"/>
          <w:rPr>
            <w:b/>
            <w:bCs/>
          </w:rPr>
        </w:pPr>
        <w:r w:rsidRPr="009B23EC">
          <w:rPr>
            <w:noProof/>
          </w:rPr>
          <w:drawing>
            <wp:inline distT="0" distB="0" distL="0" distR="0" wp14:anchorId="44D11051" wp14:editId="236BD85B">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7B57E83B" wp14:editId="76752314">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8E5B14" w:rsidRPr="008E5B14">
          <w:rPr>
            <w:b/>
            <w:bCs/>
            <w:noProof/>
          </w:rPr>
          <w:t>9</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E58AA"/>
    <w:multiLevelType w:val="hybridMultilevel"/>
    <w:tmpl w:val="890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74962"/>
    <w:multiLevelType w:val="hybridMultilevel"/>
    <w:tmpl w:val="D0DE60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E1D2C3D"/>
    <w:multiLevelType w:val="hybridMultilevel"/>
    <w:tmpl w:val="B112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4721D"/>
    <w:multiLevelType w:val="hybridMultilevel"/>
    <w:tmpl w:val="8998F9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FCC3A1F"/>
    <w:multiLevelType w:val="hybridMultilevel"/>
    <w:tmpl w:val="5CF0E28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25F001A"/>
    <w:multiLevelType w:val="hybridMultilevel"/>
    <w:tmpl w:val="0342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07D1C"/>
    <w:multiLevelType w:val="hybridMultilevel"/>
    <w:tmpl w:val="CFBA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8"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9E46623"/>
    <w:multiLevelType w:val="hybridMultilevel"/>
    <w:tmpl w:val="349EE5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31C95"/>
    <w:multiLevelType w:val="hybridMultilevel"/>
    <w:tmpl w:val="6BBED7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3A03B6"/>
    <w:multiLevelType w:val="hybridMultilevel"/>
    <w:tmpl w:val="8C065AF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EB1E88"/>
    <w:multiLevelType w:val="hybridMultilevel"/>
    <w:tmpl w:val="9940BE8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3D5A6CEB"/>
    <w:multiLevelType w:val="hybridMultilevel"/>
    <w:tmpl w:val="76AACA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F3335BA"/>
    <w:multiLevelType w:val="hybridMultilevel"/>
    <w:tmpl w:val="C1A42D78"/>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8FB165F"/>
    <w:multiLevelType w:val="hybridMultilevel"/>
    <w:tmpl w:val="E1EC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E3A09"/>
    <w:multiLevelType w:val="hybridMultilevel"/>
    <w:tmpl w:val="4C56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D33DA2"/>
    <w:multiLevelType w:val="hybridMultilevel"/>
    <w:tmpl w:val="C77207D2"/>
    <w:lvl w:ilvl="0" w:tplc="08090001">
      <w:start w:val="1"/>
      <w:numFmt w:val="bullet"/>
      <w:lvlText w:val=""/>
      <w:lvlJc w:val="left"/>
      <w:pPr>
        <w:ind w:left="720" w:hanging="360"/>
      </w:pPr>
      <w:rPr>
        <w:rFonts w:ascii="Symbol" w:hAnsi="Symbol" w:hint="default"/>
      </w:rPr>
    </w:lvl>
    <w:lvl w:ilvl="1" w:tplc="59FCB00A">
      <w:numFmt w:val="bullet"/>
      <w:lvlText w:val="-"/>
      <w:lvlJc w:val="left"/>
      <w:pPr>
        <w:ind w:left="1440" w:hanging="360"/>
      </w:pPr>
      <w:rPr>
        <w:rFonts w:ascii="Cambria" w:eastAsiaTheme="minorEastAsia" w:hAnsi="Cambri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AC3D2B"/>
    <w:multiLevelType w:val="hybridMultilevel"/>
    <w:tmpl w:val="BD3055E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78082C58"/>
    <w:multiLevelType w:val="hybridMultilevel"/>
    <w:tmpl w:val="D5CA233A"/>
    <w:lvl w:ilvl="0" w:tplc="05F01FB6">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BE31249"/>
    <w:multiLevelType w:val="hybridMultilevel"/>
    <w:tmpl w:val="4B9279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0511F"/>
    <w:multiLevelType w:val="hybridMultilevel"/>
    <w:tmpl w:val="C7B293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7"/>
  </w:num>
  <w:num w:numId="5">
    <w:abstractNumId w:val="19"/>
  </w:num>
  <w:num w:numId="6">
    <w:abstractNumId w:val="2"/>
  </w:num>
  <w:num w:numId="7">
    <w:abstractNumId w:val="0"/>
  </w:num>
  <w:num w:numId="8">
    <w:abstractNumId w:val="5"/>
  </w:num>
  <w:num w:numId="9">
    <w:abstractNumId w:val="6"/>
  </w:num>
  <w:num w:numId="10">
    <w:abstractNumId w:val="17"/>
  </w:num>
  <w:num w:numId="11">
    <w:abstractNumId w:val="22"/>
  </w:num>
  <w:num w:numId="12">
    <w:abstractNumId w:val="9"/>
  </w:num>
  <w:num w:numId="13">
    <w:abstractNumId w:val="18"/>
  </w:num>
  <w:num w:numId="14">
    <w:abstractNumId w:val="1"/>
  </w:num>
  <w:num w:numId="15">
    <w:abstractNumId w:val="23"/>
  </w:num>
  <w:num w:numId="16">
    <w:abstractNumId w:val="10"/>
  </w:num>
  <w:num w:numId="17">
    <w:abstractNumId w:val="16"/>
  </w:num>
  <w:num w:numId="18">
    <w:abstractNumId w:val="15"/>
  </w:num>
  <w:num w:numId="19">
    <w:abstractNumId w:val="20"/>
  </w:num>
  <w:num w:numId="20">
    <w:abstractNumId w:val="21"/>
  </w:num>
  <w:num w:numId="21">
    <w:abstractNumId w:val="4"/>
  </w:num>
  <w:num w:numId="22">
    <w:abstractNumId w:val="14"/>
  </w:num>
  <w:num w:numId="23">
    <w:abstractNumId w:val="12"/>
  </w:num>
  <w:num w:numId="2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50304"/>
    <w:rsid w:val="00056302"/>
    <w:rsid w:val="00060624"/>
    <w:rsid w:val="00062352"/>
    <w:rsid w:val="000802E1"/>
    <w:rsid w:val="0009228B"/>
    <w:rsid w:val="000A4E14"/>
    <w:rsid w:val="000B1C8E"/>
    <w:rsid w:val="000B3879"/>
    <w:rsid w:val="000C2227"/>
    <w:rsid w:val="000C77DA"/>
    <w:rsid w:val="000D20CD"/>
    <w:rsid w:val="000E17FC"/>
    <w:rsid w:val="000F3ED5"/>
    <w:rsid w:val="00131418"/>
    <w:rsid w:val="00135568"/>
    <w:rsid w:val="00153DC4"/>
    <w:rsid w:val="00160360"/>
    <w:rsid w:val="00182D5F"/>
    <w:rsid w:val="001B72DB"/>
    <w:rsid w:val="001F7404"/>
    <w:rsid w:val="00235736"/>
    <w:rsid w:val="00237B2C"/>
    <w:rsid w:val="002501ED"/>
    <w:rsid w:val="002B0680"/>
    <w:rsid w:val="002E71DB"/>
    <w:rsid w:val="00317222"/>
    <w:rsid w:val="00360F5C"/>
    <w:rsid w:val="0036176B"/>
    <w:rsid w:val="0036545A"/>
    <w:rsid w:val="00366176"/>
    <w:rsid w:val="00366349"/>
    <w:rsid w:val="00387230"/>
    <w:rsid w:val="003A075A"/>
    <w:rsid w:val="003B20E1"/>
    <w:rsid w:val="0042072D"/>
    <w:rsid w:val="0042080E"/>
    <w:rsid w:val="00421818"/>
    <w:rsid w:val="0049115B"/>
    <w:rsid w:val="00494EBE"/>
    <w:rsid w:val="004A07B7"/>
    <w:rsid w:val="004F4B42"/>
    <w:rsid w:val="0051795C"/>
    <w:rsid w:val="005200EB"/>
    <w:rsid w:val="00532A2A"/>
    <w:rsid w:val="00533570"/>
    <w:rsid w:val="0054257C"/>
    <w:rsid w:val="00564385"/>
    <w:rsid w:val="00566AB3"/>
    <w:rsid w:val="005719DF"/>
    <w:rsid w:val="0057573B"/>
    <w:rsid w:val="005B5783"/>
    <w:rsid w:val="005C4B5C"/>
    <w:rsid w:val="005E0FEE"/>
    <w:rsid w:val="005F7A55"/>
    <w:rsid w:val="00624855"/>
    <w:rsid w:val="00645C6A"/>
    <w:rsid w:val="006571AA"/>
    <w:rsid w:val="00694834"/>
    <w:rsid w:val="006B08AC"/>
    <w:rsid w:val="006D7702"/>
    <w:rsid w:val="006F6BF7"/>
    <w:rsid w:val="00705CBB"/>
    <w:rsid w:val="00721D90"/>
    <w:rsid w:val="007304CF"/>
    <w:rsid w:val="0074286E"/>
    <w:rsid w:val="00743737"/>
    <w:rsid w:val="007739C9"/>
    <w:rsid w:val="00773A7B"/>
    <w:rsid w:val="007E15BC"/>
    <w:rsid w:val="007E2203"/>
    <w:rsid w:val="007E3833"/>
    <w:rsid w:val="00827970"/>
    <w:rsid w:val="00831525"/>
    <w:rsid w:val="008365EE"/>
    <w:rsid w:val="008461F6"/>
    <w:rsid w:val="00875B84"/>
    <w:rsid w:val="00875E2F"/>
    <w:rsid w:val="00890F0E"/>
    <w:rsid w:val="008A063A"/>
    <w:rsid w:val="008C5B71"/>
    <w:rsid w:val="008E5B14"/>
    <w:rsid w:val="009059DA"/>
    <w:rsid w:val="00940BDF"/>
    <w:rsid w:val="00946530"/>
    <w:rsid w:val="00974A3B"/>
    <w:rsid w:val="00977B3C"/>
    <w:rsid w:val="00987EC5"/>
    <w:rsid w:val="009B23EC"/>
    <w:rsid w:val="009D333F"/>
    <w:rsid w:val="009D77F1"/>
    <w:rsid w:val="009E1A76"/>
    <w:rsid w:val="009E43C1"/>
    <w:rsid w:val="009E5972"/>
    <w:rsid w:val="00A2101D"/>
    <w:rsid w:val="00A22544"/>
    <w:rsid w:val="00A23791"/>
    <w:rsid w:val="00A23FD8"/>
    <w:rsid w:val="00A24905"/>
    <w:rsid w:val="00A4117C"/>
    <w:rsid w:val="00A51728"/>
    <w:rsid w:val="00A53FB9"/>
    <w:rsid w:val="00A61549"/>
    <w:rsid w:val="00A9252F"/>
    <w:rsid w:val="00AB02C5"/>
    <w:rsid w:val="00AC5A24"/>
    <w:rsid w:val="00AD7502"/>
    <w:rsid w:val="00AF1D50"/>
    <w:rsid w:val="00AF7AAF"/>
    <w:rsid w:val="00B31FD4"/>
    <w:rsid w:val="00B50C2D"/>
    <w:rsid w:val="00B63906"/>
    <w:rsid w:val="00B71D5A"/>
    <w:rsid w:val="00B759A3"/>
    <w:rsid w:val="00B84C59"/>
    <w:rsid w:val="00BC7F3F"/>
    <w:rsid w:val="00BF23E5"/>
    <w:rsid w:val="00BF2E89"/>
    <w:rsid w:val="00BF74C4"/>
    <w:rsid w:val="00C11522"/>
    <w:rsid w:val="00C51D84"/>
    <w:rsid w:val="00C7521B"/>
    <w:rsid w:val="00C85F53"/>
    <w:rsid w:val="00C86EF1"/>
    <w:rsid w:val="00CA53BB"/>
    <w:rsid w:val="00CF0F97"/>
    <w:rsid w:val="00CF420A"/>
    <w:rsid w:val="00D11632"/>
    <w:rsid w:val="00D144A1"/>
    <w:rsid w:val="00D24A32"/>
    <w:rsid w:val="00D5049A"/>
    <w:rsid w:val="00DC5D56"/>
    <w:rsid w:val="00DE1864"/>
    <w:rsid w:val="00E1305F"/>
    <w:rsid w:val="00E13CDC"/>
    <w:rsid w:val="00E209F7"/>
    <w:rsid w:val="00E378C1"/>
    <w:rsid w:val="00E56925"/>
    <w:rsid w:val="00EA761E"/>
    <w:rsid w:val="00EC78A0"/>
    <w:rsid w:val="00F10507"/>
    <w:rsid w:val="00F10F90"/>
    <w:rsid w:val="00F117FA"/>
    <w:rsid w:val="00F12E6A"/>
    <w:rsid w:val="00F20162"/>
    <w:rsid w:val="00F2205A"/>
    <w:rsid w:val="00F33764"/>
    <w:rsid w:val="00F70B53"/>
    <w:rsid w:val="00F775C3"/>
    <w:rsid w:val="00F81B5B"/>
    <w:rsid w:val="00F87A35"/>
    <w:rsid w:val="00FC2BF5"/>
    <w:rsid w:val="00FD0435"/>
    <w:rsid w:val="00FE749A"/>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724D7"/>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style3">
    <w:name w:val="style3"/>
    <w:basedOn w:val="Normal"/>
    <w:rsid w:val="0009228B"/>
    <w:pPr>
      <w:spacing w:before="100" w:beforeAutospacing="1" w:after="100" w:afterAutospacing="1"/>
    </w:pPr>
    <w:rPr>
      <w:rFonts w:eastAsia="Times New Roman"/>
      <w:lang w:val="en-SG" w:bidi="ta-IN"/>
    </w:rPr>
  </w:style>
  <w:style w:type="character" w:styleId="UnresolvedMention">
    <w:name w:val="Unresolved Mention"/>
    <w:basedOn w:val="DefaultParagraphFont"/>
    <w:uiPriority w:val="99"/>
    <w:semiHidden/>
    <w:unhideWhenUsed/>
    <w:rsid w:val="005757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uters.com/article/2013/03/05/us-expressscripts-prices-idUSBRE92406W2013030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Arial" panose="020B0604020202020204" pitchFamily="34" charset="0"/>
                <a:cs typeface="Arial" panose="020B0604020202020204" pitchFamily="34" charset="0"/>
              </a:rPr>
              <a:t>Projected growth in worldwide total pharmaceutical research and development spending</a:t>
            </a:r>
          </a:p>
        </c:rich>
      </c:tx>
      <c:overlay val="0"/>
      <c:spPr>
        <a:noFill/>
        <a:ln>
          <a:noFill/>
        </a:ln>
        <a:effectLst/>
      </c:spPr>
    </c:title>
    <c:autoTitleDeleted val="0"/>
    <c:plotArea>
      <c:layout/>
      <c:lineChart>
        <c:grouping val="standard"/>
        <c:varyColors val="0"/>
        <c:ser>
          <c:idx val="2"/>
          <c:order val="0"/>
          <c:tx>
            <c:v>Projected growth in worldwide total pharmaceutical research and development spending</c:v>
          </c:tx>
          <c:spPr>
            <a:ln w="28575" cap="rnd">
              <a:solidFill>
                <a:schemeClr val="tx1"/>
              </a:solidFill>
              <a:round/>
            </a:ln>
            <a:effectLst/>
          </c:spPr>
          <c:marker>
            <c:symbol val="none"/>
          </c:marker>
          <c:cat>
            <c:numRef>
              <c:f>[Book1]Sheet1!$B$4:$H$4</c:f>
              <c:numCache>
                <c:formatCode>General</c:formatCode>
                <c:ptCount val="7"/>
                <c:pt idx="0">
                  <c:v>2016</c:v>
                </c:pt>
                <c:pt idx="1">
                  <c:v>2017</c:v>
                </c:pt>
                <c:pt idx="2">
                  <c:v>2018</c:v>
                </c:pt>
                <c:pt idx="3">
                  <c:v>2019</c:v>
                </c:pt>
                <c:pt idx="4">
                  <c:v>2020</c:v>
                </c:pt>
                <c:pt idx="5">
                  <c:v>2021</c:v>
                </c:pt>
                <c:pt idx="6">
                  <c:v>2022</c:v>
                </c:pt>
              </c:numCache>
            </c:numRef>
          </c:cat>
          <c:val>
            <c:numRef>
              <c:f>[Book1]Sheet1!$B$3:$H$3</c:f>
              <c:numCache>
                <c:formatCode>0.00%</c:formatCode>
                <c:ptCount val="7"/>
                <c:pt idx="0">
                  <c:v>2.5999999999999999E-2</c:v>
                </c:pt>
                <c:pt idx="1">
                  <c:v>3.4000000000000002E-2</c:v>
                </c:pt>
                <c:pt idx="2">
                  <c:v>2.8000000000000001E-2</c:v>
                </c:pt>
                <c:pt idx="3">
                  <c:v>2.5000000000000001E-2</c:v>
                </c:pt>
                <c:pt idx="4">
                  <c:v>2.9000000000000001E-2</c:v>
                </c:pt>
                <c:pt idx="5">
                  <c:v>2.7E-2</c:v>
                </c:pt>
                <c:pt idx="6">
                  <c:v>2.8000000000000001E-2</c:v>
                </c:pt>
              </c:numCache>
            </c:numRef>
          </c:val>
          <c:smooth val="0"/>
          <c:extLst>
            <c:ext xmlns:c16="http://schemas.microsoft.com/office/drawing/2014/chart" uri="{C3380CC4-5D6E-409C-BE32-E72D297353CC}">
              <c16:uniqueId val="{00000000-6FA5-43A2-9C05-90F92C554FD5}"/>
            </c:ext>
          </c:extLst>
        </c:ser>
        <c:dLbls>
          <c:showLegendKey val="0"/>
          <c:showVal val="0"/>
          <c:showCatName val="0"/>
          <c:showSerName val="0"/>
          <c:showPercent val="0"/>
          <c:showBubbleSize val="0"/>
        </c:dLbls>
        <c:smooth val="0"/>
        <c:axId val="653635600"/>
        <c:axId val="653636160"/>
      </c:lineChart>
      <c:catAx>
        <c:axId val="65363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53636160"/>
        <c:crosses val="autoZero"/>
        <c:auto val="1"/>
        <c:lblAlgn val="ctr"/>
        <c:lblOffset val="100"/>
        <c:noMultiLvlLbl val="0"/>
      </c:catAx>
      <c:valAx>
        <c:axId val="6536361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53635600"/>
        <c:crosses val="autoZero"/>
        <c:crossBetween val="between"/>
      </c:val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AE28586-0AD7-4E15-AE8D-86FFE24E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2017-10-20T01:48:00Z</cp:lastPrinted>
  <dcterms:created xsi:type="dcterms:W3CDTF">2020-06-21T07:07:00Z</dcterms:created>
  <dcterms:modified xsi:type="dcterms:W3CDTF">2020-06-21T07:07:00Z</dcterms:modified>
</cp:coreProperties>
</file>