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F604" w14:textId="5EDA00B3" w:rsidR="00742D74" w:rsidRPr="00E9009B" w:rsidRDefault="00742D74" w:rsidP="00360CD4">
      <w:pPr>
        <w:spacing w:after="0" w:line="240" w:lineRule="auto"/>
        <w:jc w:val="center"/>
        <w:rPr>
          <w:rFonts w:ascii="Arial" w:hAnsi="Arial" w:cs="Arial"/>
          <w:b/>
          <w:bCs/>
          <w:sz w:val="26"/>
          <w:szCs w:val="26"/>
          <w:lang w:val="en-US"/>
        </w:rPr>
      </w:pPr>
      <w:r w:rsidRPr="00E9009B">
        <w:rPr>
          <w:rFonts w:ascii="Arial" w:hAnsi="Arial" w:cs="Arial"/>
          <w:b/>
          <w:bCs/>
          <w:sz w:val="26"/>
          <w:szCs w:val="26"/>
          <w:lang w:val="en-US"/>
        </w:rPr>
        <w:t>J2 H1 Economics – Final Revision 2019</w:t>
      </w:r>
      <w:r>
        <w:rPr>
          <w:rFonts w:ascii="Arial" w:hAnsi="Arial" w:cs="Arial"/>
          <w:b/>
          <w:bCs/>
          <w:sz w:val="26"/>
          <w:szCs w:val="26"/>
          <w:lang w:val="en-US"/>
        </w:rPr>
        <w:t xml:space="preserve"> – Lesson 5</w:t>
      </w:r>
    </w:p>
    <w:p w14:paraId="3EA1C202" w14:textId="77777777" w:rsidR="00742D74" w:rsidRDefault="00742D74" w:rsidP="00360CD4">
      <w:pPr>
        <w:spacing w:after="0" w:line="240" w:lineRule="auto"/>
        <w:jc w:val="both"/>
        <w:rPr>
          <w:rFonts w:ascii="Arial" w:hAnsi="Arial" w:cs="Arial"/>
          <w:sz w:val="26"/>
          <w:szCs w:val="26"/>
          <w:lang w:val="en-US"/>
        </w:rPr>
      </w:pPr>
    </w:p>
    <w:p w14:paraId="15373A33" w14:textId="77777777" w:rsidR="00360CD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 xml:space="preserve">Seeking Sustainable Growth: </w:t>
      </w:r>
    </w:p>
    <w:p w14:paraId="5E9C964D" w14:textId="0BD76D7B" w:rsidR="00742D7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Short-Term Recovery; Long-Term Challenges</w:t>
      </w:r>
    </w:p>
    <w:p w14:paraId="628FB430" w14:textId="3E009198" w:rsidR="00360CD4" w:rsidRDefault="00360CD4" w:rsidP="00360CD4">
      <w:pPr>
        <w:spacing w:after="0" w:line="240" w:lineRule="auto"/>
        <w:jc w:val="center"/>
        <w:rPr>
          <w:rFonts w:ascii="Arial" w:hAnsi="Arial" w:cs="Arial"/>
          <w:b/>
          <w:bCs/>
          <w:sz w:val="26"/>
          <w:szCs w:val="26"/>
          <w:lang w:val="en-US"/>
        </w:rPr>
      </w:pPr>
    </w:p>
    <w:p w14:paraId="76F4D7A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6: Global Prospects</w:t>
      </w:r>
    </w:p>
    <w:p w14:paraId="39D3A8B0" w14:textId="77777777" w:rsidR="00360CD4" w:rsidRDefault="00360CD4" w:rsidP="00360CD4">
      <w:pPr>
        <w:spacing w:after="0" w:line="240" w:lineRule="auto"/>
        <w:jc w:val="both"/>
        <w:rPr>
          <w:rFonts w:ascii="Arial" w:hAnsi="Arial" w:cs="Arial"/>
          <w:sz w:val="26"/>
          <w:szCs w:val="26"/>
          <w:lang w:val="en-US"/>
        </w:rPr>
      </w:pPr>
    </w:p>
    <w:p w14:paraId="2A012CB5" w14:textId="2CEA769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global upswing in economic activity is strengthening. Global growth, which in 2016 was the weakest since the global financial crisis at 3.2 percent, is projected to rise to 3.6 percent in 2017 and to 3.7 percent in 2018. Broad-based upward revisions in the euro area, Japan, emerging Asia, emerging Europe, and Russia—where growth outcomes in the first half of 2017 were better than expected—more than offset downward revisions for the United States and the United Kingdom.</w:t>
      </w:r>
    </w:p>
    <w:p w14:paraId="0A1CE0EB" w14:textId="77777777" w:rsidR="00360CD4" w:rsidRPr="00360CD4" w:rsidRDefault="00360CD4" w:rsidP="00360CD4">
      <w:pPr>
        <w:spacing w:after="0" w:line="240" w:lineRule="auto"/>
        <w:jc w:val="both"/>
        <w:rPr>
          <w:rFonts w:ascii="Arial" w:hAnsi="Arial" w:cs="Arial"/>
          <w:sz w:val="26"/>
          <w:szCs w:val="26"/>
          <w:lang w:val="en-US"/>
        </w:rPr>
      </w:pPr>
    </w:p>
    <w:p w14:paraId="10ED3D96" w14:textId="4DBDF9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But the recovery is not complete: while the baseline outlook is strengthening, growth remains weak in many countries, and inflation is below target in most advanced economies. </w:t>
      </w:r>
      <w:proofErr w:type="gramStart"/>
      <w:r w:rsidRPr="00360CD4">
        <w:rPr>
          <w:rFonts w:ascii="Arial" w:hAnsi="Arial" w:cs="Arial"/>
          <w:sz w:val="26"/>
          <w:szCs w:val="26"/>
          <w:lang w:val="en-US"/>
        </w:rPr>
        <w:t>Commodity</w:t>
      </w:r>
      <w:r>
        <w:rPr>
          <w:rFonts w:ascii="Arial" w:hAnsi="Arial" w:cs="Arial"/>
          <w:sz w:val="26"/>
          <w:szCs w:val="26"/>
          <w:lang w:val="en-US"/>
        </w:rPr>
        <w:t xml:space="preserve"> </w:t>
      </w:r>
      <w:r w:rsidRPr="00360CD4">
        <w:rPr>
          <w:rFonts w:ascii="Arial" w:hAnsi="Arial" w:cs="Arial"/>
          <w:sz w:val="26"/>
          <w:szCs w:val="26"/>
          <w:lang w:val="en-US"/>
        </w:rPr>
        <w:t>exporters,</w:t>
      </w:r>
      <w:proofErr w:type="gramEnd"/>
      <w:r w:rsidRPr="00360CD4">
        <w:rPr>
          <w:rFonts w:ascii="Arial" w:hAnsi="Arial" w:cs="Arial"/>
          <w:sz w:val="26"/>
          <w:szCs w:val="26"/>
          <w:lang w:val="en-US"/>
        </w:rPr>
        <w:t xml:space="preserve"> are particularly hard hit as oil prices fall.</w:t>
      </w:r>
    </w:p>
    <w:p w14:paraId="78606F64" w14:textId="77777777" w:rsidR="00360CD4" w:rsidRPr="00360CD4" w:rsidRDefault="00360CD4" w:rsidP="00360CD4">
      <w:pPr>
        <w:spacing w:after="0" w:line="240" w:lineRule="auto"/>
        <w:jc w:val="both"/>
        <w:rPr>
          <w:rFonts w:ascii="Arial" w:hAnsi="Arial" w:cs="Arial"/>
          <w:sz w:val="26"/>
          <w:szCs w:val="26"/>
          <w:lang w:val="en-US"/>
        </w:rPr>
      </w:pPr>
    </w:p>
    <w:p w14:paraId="269E4F9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welcome cyclical pickup in global activity provides an ideal window of opportunity to tackle the key policy challenges—namely to boost sustainable output and to build resilience against downside risks.</w:t>
      </w:r>
    </w:p>
    <w:p w14:paraId="2260C5F3" w14:textId="77777777" w:rsidR="00360CD4" w:rsidRPr="00360CD4" w:rsidRDefault="00360CD4" w:rsidP="00360CD4">
      <w:pPr>
        <w:spacing w:after="0" w:line="240" w:lineRule="auto"/>
        <w:jc w:val="both"/>
        <w:rPr>
          <w:rFonts w:ascii="Arial" w:hAnsi="Arial" w:cs="Arial"/>
          <w:sz w:val="26"/>
          <w:szCs w:val="26"/>
          <w:lang w:val="en-US"/>
        </w:rPr>
      </w:pPr>
    </w:p>
    <w:p w14:paraId="7596D08B"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35CB5976" w14:textId="77777777" w:rsidR="00360CD4" w:rsidRPr="00360CD4" w:rsidRDefault="00360CD4" w:rsidP="00360CD4">
      <w:pPr>
        <w:spacing w:after="0" w:line="240" w:lineRule="auto"/>
        <w:jc w:val="both"/>
        <w:rPr>
          <w:rFonts w:ascii="Arial" w:hAnsi="Arial" w:cs="Arial"/>
          <w:sz w:val="26"/>
          <w:szCs w:val="26"/>
          <w:lang w:val="en-US"/>
        </w:rPr>
      </w:pPr>
    </w:p>
    <w:p w14:paraId="36DE4D3C" w14:textId="4B8743E9"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1: Annual real GDP growth (%) in selected countries</w:t>
      </w:r>
    </w:p>
    <w:p w14:paraId="1F452DD8" w14:textId="3BFC7609" w:rsidR="00360CD4" w:rsidRPr="00360CD4" w:rsidRDefault="00360CD4" w:rsidP="00360CD4">
      <w:pPr>
        <w:spacing w:after="0" w:line="240" w:lineRule="auto"/>
        <w:jc w:val="both"/>
        <w:rPr>
          <w:rFonts w:ascii="Arial" w:hAnsi="Arial" w:cs="Arial"/>
          <w:b/>
          <w:bCs/>
          <w:sz w:val="26"/>
          <w:szCs w:val="26"/>
          <w:lang w:val="en-US"/>
        </w:rPr>
      </w:pPr>
    </w:p>
    <w:p w14:paraId="5F490472" w14:textId="5CA4EB3D"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5F70B1C7" wp14:editId="270C899A">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14145"/>
                    </a:xfrm>
                    <a:prstGeom prst="rect">
                      <a:avLst/>
                    </a:prstGeom>
                    <a:noFill/>
                    <a:ln>
                      <a:noFill/>
                    </a:ln>
                  </pic:spPr>
                </pic:pic>
              </a:graphicData>
            </a:graphic>
          </wp:inline>
        </w:drawing>
      </w:r>
    </w:p>
    <w:p w14:paraId="0C59C550" w14:textId="77777777" w:rsidR="00360CD4" w:rsidRDefault="00360CD4" w:rsidP="00360CD4">
      <w:pPr>
        <w:spacing w:after="0" w:line="240" w:lineRule="auto"/>
        <w:jc w:val="center"/>
        <w:rPr>
          <w:rFonts w:ascii="Arial" w:hAnsi="Arial" w:cs="Arial"/>
          <w:b/>
          <w:bCs/>
          <w:sz w:val="26"/>
          <w:szCs w:val="26"/>
          <w:lang w:val="en-US"/>
        </w:rPr>
      </w:pPr>
    </w:p>
    <w:p w14:paraId="35071A0A" w14:textId="5F48F131"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2: Annual population growth (%) in selected countries</w:t>
      </w:r>
    </w:p>
    <w:p w14:paraId="3DE15C1A" w14:textId="4AD639C1"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73FE705D" wp14:editId="2A9AEAFB">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1772736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D39D139" w14:textId="7317E833" w:rsid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lastRenderedPageBreak/>
        <w:t>Figure 2: Annual CO</w:t>
      </w:r>
      <w:r>
        <w:rPr>
          <w:rFonts w:ascii="Arial" w:hAnsi="Arial" w:cs="Arial"/>
          <w:b/>
          <w:bCs/>
          <w:sz w:val="26"/>
          <w:szCs w:val="26"/>
          <w:vertAlign w:val="subscript"/>
          <w:lang w:val="en-US"/>
        </w:rPr>
        <w:t>2</w:t>
      </w:r>
      <w:r w:rsidRPr="00360CD4">
        <w:rPr>
          <w:rFonts w:ascii="Arial" w:hAnsi="Arial" w:cs="Arial"/>
          <w:b/>
          <w:bCs/>
          <w:sz w:val="26"/>
          <w:szCs w:val="26"/>
          <w:lang w:val="en-US"/>
        </w:rPr>
        <w:t xml:space="preserve"> Emissions per capita (Metric tons)</w:t>
      </w:r>
    </w:p>
    <w:p w14:paraId="1C2CBF2B" w14:textId="77777777" w:rsidR="00360CD4" w:rsidRDefault="00360CD4" w:rsidP="00360CD4">
      <w:pPr>
        <w:spacing w:after="0" w:line="240" w:lineRule="auto"/>
        <w:jc w:val="both"/>
        <w:rPr>
          <w:rFonts w:ascii="Arial" w:hAnsi="Arial" w:cs="Arial"/>
          <w:b/>
          <w:bCs/>
          <w:sz w:val="26"/>
          <w:szCs w:val="26"/>
          <w:lang w:val="en-US"/>
        </w:rPr>
      </w:pPr>
    </w:p>
    <w:p w14:paraId="25FF1054" w14:textId="151B24EA"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192A6CE2" wp14:editId="51E648A2">
            <wp:extent cx="5723255" cy="2776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2776855"/>
                    </a:xfrm>
                    <a:prstGeom prst="rect">
                      <a:avLst/>
                    </a:prstGeom>
                    <a:noFill/>
                    <a:ln>
                      <a:noFill/>
                    </a:ln>
                  </pic:spPr>
                </pic:pic>
              </a:graphicData>
            </a:graphic>
          </wp:inline>
        </w:drawing>
      </w:r>
    </w:p>
    <w:p w14:paraId="4D63E9DE" w14:textId="6A351D89" w:rsidR="00360CD4" w:rsidRDefault="00360CD4" w:rsidP="00360CD4">
      <w:pPr>
        <w:spacing w:after="0" w:line="240" w:lineRule="auto"/>
        <w:jc w:val="both"/>
        <w:rPr>
          <w:rFonts w:ascii="Arial" w:hAnsi="Arial" w:cs="Arial"/>
          <w:sz w:val="26"/>
          <w:szCs w:val="26"/>
          <w:lang w:val="en-US"/>
        </w:rPr>
      </w:pPr>
    </w:p>
    <w:p w14:paraId="6205CBD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7: UK economy lags behind after 2017 growth rate cut</w:t>
      </w:r>
    </w:p>
    <w:p w14:paraId="1369007F" w14:textId="77777777" w:rsidR="00360CD4" w:rsidRPr="00360CD4" w:rsidRDefault="00360CD4" w:rsidP="00360CD4">
      <w:pPr>
        <w:spacing w:after="0" w:line="240" w:lineRule="auto"/>
        <w:jc w:val="both"/>
        <w:rPr>
          <w:rFonts w:ascii="Arial" w:hAnsi="Arial" w:cs="Arial"/>
          <w:sz w:val="26"/>
          <w:szCs w:val="26"/>
          <w:lang w:val="en-US"/>
        </w:rPr>
      </w:pPr>
    </w:p>
    <w:p w14:paraId="3E44CD5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Britain’s economy was weaker than previously thought in 2017, official data showed on Thursday, leaving the country lagging further behind the global recovery as it prepares to leave the European Union. Gross domestic product growth slowed to a quarterly 0.4 percent from a previous estimate of 0.5 percent, reducing 2017 growth as a whole to 1.7 percent, its lowest since 2012. However, this was still stronger than most economists feared immediately after Britain voted to leave the EU in June 2016.</w:t>
      </w:r>
    </w:p>
    <w:p w14:paraId="7087890E" w14:textId="77777777" w:rsidR="00360CD4" w:rsidRPr="00360CD4" w:rsidRDefault="00360CD4" w:rsidP="00360CD4">
      <w:pPr>
        <w:spacing w:after="0" w:line="240" w:lineRule="auto"/>
        <w:jc w:val="both"/>
        <w:rPr>
          <w:rFonts w:ascii="Arial" w:hAnsi="Arial" w:cs="Arial"/>
          <w:sz w:val="26"/>
          <w:szCs w:val="26"/>
          <w:lang w:val="en-US"/>
        </w:rPr>
      </w:pPr>
    </w:p>
    <w:p w14:paraId="1AA1CC3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the country has relied heavily on the unexpectedly robust global economy to sustain its economic growth while consumers have been squeezed by higher inflation caused by the fall in the pound after the Brexit vote.</w:t>
      </w:r>
    </w:p>
    <w:p w14:paraId="4C24CDDF" w14:textId="77777777" w:rsidR="00360CD4" w:rsidRPr="00360CD4" w:rsidRDefault="00360CD4" w:rsidP="00360CD4">
      <w:pPr>
        <w:spacing w:after="0" w:line="240" w:lineRule="auto"/>
        <w:jc w:val="both"/>
        <w:rPr>
          <w:rFonts w:ascii="Arial" w:hAnsi="Arial" w:cs="Arial"/>
          <w:sz w:val="26"/>
          <w:szCs w:val="26"/>
          <w:lang w:val="en-US"/>
        </w:rPr>
      </w:pPr>
    </w:p>
    <w:p w14:paraId="3AFAC71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downgrade of the full-year and fourth-quarter growth rates also raised questions about the strength of the economy as the Bank of England prepares to raise interest rates. Alan Clarke, an economist at Scotiabank, said the figures showed Britain’s economy was growing at roughly the pace the Bank of England sees its new, lower speed limit, meaning a rate hike was still on the cards.</w:t>
      </w:r>
    </w:p>
    <w:p w14:paraId="41B3B5F6" w14:textId="77777777" w:rsidR="00360CD4" w:rsidRPr="00360CD4" w:rsidRDefault="00360CD4" w:rsidP="00360CD4">
      <w:pPr>
        <w:spacing w:after="0" w:line="240" w:lineRule="auto"/>
        <w:jc w:val="both"/>
        <w:rPr>
          <w:rFonts w:ascii="Arial" w:hAnsi="Arial" w:cs="Arial"/>
          <w:sz w:val="26"/>
          <w:szCs w:val="26"/>
          <w:lang w:val="en-US"/>
        </w:rPr>
      </w:pPr>
    </w:p>
    <w:p w14:paraId="26586F97" w14:textId="77BB8CA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Samuel Tombs, at Pantheon Macroeconomics, said the data showed the central bank should delay any action for now. “The latest GDP data suggest that the economy remains in a fragile state and does not need to be cooled with another rate rise as soon as May,” he said in a note to clients.</w:t>
      </w:r>
    </w:p>
    <w:p w14:paraId="71104459" w14:textId="77777777" w:rsidR="00360CD4" w:rsidRPr="00360CD4" w:rsidRDefault="00360CD4" w:rsidP="00360CD4">
      <w:pPr>
        <w:spacing w:after="0" w:line="240" w:lineRule="auto"/>
        <w:jc w:val="both"/>
        <w:rPr>
          <w:rFonts w:ascii="Arial" w:hAnsi="Arial" w:cs="Arial"/>
          <w:sz w:val="26"/>
          <w:szCs w:val="26"/>
          <w:lang w:val="en-US"/>
        </w:rPr>
      </w:pPr>
    </w:p>
    <w:p w14:paraId="70F37E0F" w14:textId="1802D69F"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22.02.2018</w:t>
      </w:r>
    </w:p>
    <w:p w14:paraId="610574CA"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4837F551" w14:textId="181B0E6F"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8: China's 2017 GDP growth accelerates for first time in seven years</w:t>
      </w:r>
    </w:p>
    <w:p w14:paraId="25CB059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78A2FBB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China’s economy grew faster than expected in the fourth quarter of 2017, as an export recovery helped the country post its first annual acceleration in growth in seven years, defying concerns that intensifying curbs on industry and credit would hurt expansion. China’s gross domestic product grew 6.8 percent in the October to December period from a year earlier. That was better than the 6.7 percent growth forecast by analysts</w:t>
      </w:r>
    </w:p>
    <w:p w14:paraId="1F9EED8D" w14:textId="77777777" w:rsidR="00360CD4" w:rsidRPr="00360CD4" w:rsidRDefault="00360CD4" w:rsidP="00360CD4">
      <w:pPr>
        <w:spacing w:after="0" w:line="240" w:lineRule="auto"/>
        <w:jc w:val="both"/>
        <w:rPr>
          <w:rFonts w:ascii="Arial" w:hAnsi="Arial" w:cs="Arial"/>
          <w:sz w:val="26"/>
          <w:szCs w:val="26"/>
          <w:lang w:val="en-US"/>
        </w:rPr>
      </w:pPr>
    </w:p>
    <w:p w14:paraId="2F0C06E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 synchronized improvement in the global economy over the past year, driven in part by a surge in demand for semiconductors and other technology products, has been a good news to China and much of trade-dependent Asia, with Chinese exports in 2017 growing at their quickest pace in four years. Investment by private firms also rose.</w:t>
      </w:r>
    </w:p>
    <w:p w14:paraId="7B70923E" w14:textId="77777777" w:rsidR="00360CD4" w:rsidRPr="00360CD4" w:rsidRDefault="00360CD4" w:rsidP="00360CD4">
      <w:pPr>
        <w:spacing w:after="0" w:line="240" w:lineRule="auto"/>
        <w:jc w:val="both"/>
        <w:rPr>
          <w:rFonts w:ascii="Arial" w:hAnsi="Arial" w:cs="Arial"/>
          <w:sz w:val="26"/>
          <w:szCs w:val="26"/>
          <w:lang w:val="en-US"/>
        </w:rPr>
      </w:pPr>
    </w:p>
    <w:p w14:paraId="28A750A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official growth figures released on Thursday are welcome news for Beijing policymakers who are looking to cut debt and pollution in older industries without stunting growth in the world’s second-largest economy. But there could be rising headwinds to further expansion of China’s net exports in 2018.</w:t>
      </w:r>
    </w:p>
    <w:p w14:paraId="35CEFC4D" w14:textId="77777777" w:rsidR="00360CD4" w:rsidRPr="00360CD4" w:rsidRDefault="00360CD4" w:rsidP="00360CD4">
      <w:pPr>
        <w:spacing w:after="0" w:line="240" w:lineRule="auto"/>
        <w:jc w:val="both"/>
        <w:rPr>
          <w:rFonts w:ascii="Arial" w:hAnsi="Arial" w:cs="Arial"/>
          <w:sz w:val="26"/>
          <w:szCs w:val="26"/>
          <w:lang w:val="en-US"/>
        </w:rPr>
      </w:pPr>
    </w:p>
    <w:p w14:paraId="60B1EEB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China’s excess production capacity has emerged as a major trade irritant for the world’s leading economic powers, prompting them to consider new steps to protect domestic industries and jobs from a flood of Chinese imports. U.S. President Donald Trump’s administration is considering several unilateral tariff actions on steel, </w:t>
      </w:r>
      <w:proofErr w:type="spellStart"/>
      <w:r w:rsidRPr="00360CD4">
        <w:rPr>
          <w:rFonts w:ascii="Arial" w:hAnsi="Arial" w:cs="Arial"/>
          <w:sz w:val="26"/>
          <w:szCs w:val="26"/>
          <w:lang w:val="en-US"/>
        </w:rPr>
        <w:t>aluminium</w:t>
      </w:r>
      <w:proofErr w:type="spellEnd"/>
      <w:r w:rsidRPr="00360CD4">
        <w:rPr>
          <w:rFonts w:ascii="Arial" w:hAnsi="Arial" w:cs="Arial"/>
          <w:sz w:val="26"/>
          <w:szCs w:val="26"/>
          <w:lang w:val="en-US"/>
        </w:rPr>
        <w:t xml:space="preserve"> and China’s intellectual property practices likely to draw disputes from WTO members.</w:t>
      </w:r>
    </w:p>
    <w:p w14:paraId="251EB22D" w14:textId="77777777" w:rsidR="00360CD4" w:rsidRPr="00360CD4" w:rsidRDefault="00360CD4" w:rsidP="00360CD4">
      <w:pPr>
        <w:spacing w:after="0" w:line="240" w:lineRule="auto"/>
        <w:jc w:val="both"/>
        <w:rPr>
          <w:rFonts w:ascii="Arial" w:hAnsi="Arial" w:cs="Arial"/>
          <w:sz w:val="26"/>
          <w:szCs w:val="26"/>
          <w:lang w:val="en-US"/>
        </w:rPr>
      </w:pPr>
    </w:p>
    <w:p w14:paraId="25A632D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were some positive signs in the household sector in 2017, however, with disposable income growth picking up to 7.3 percent from 6.3 percent in 2016, and final consumption playing a bigger role in driving overall growth last year versus investment than in 2016.</w:t>
      </w:r>
    </w:p>
    <w:p w14:paraId="73F8B79E" w14:textId="77777777" w:rsidR="00360CD4" w:rsidRPr="00360CD4" w:rsidRDefault="00360CD4" w:rsidP="00360CD4">
      <w:pPr>
        <w:spacing w:after="0" w:line="240" w:lineRule="auto"/>
        <w:jc w:val="both"/>
        <w:rPr>
          <w:rFonts w:ascii="Arial" w:hAnsi="Arial" w:cs="Arial"/>
          <w:sz w:val="26"/>
          <w:szCs w:val="26"/>
          <w:lang w:val="en-US"/>
        </w:rPr>
      </w:pPr>
    </w:p>
    <w:p w14:paraId="27A928FA"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Economists also say growth momentum in the economy is likely to weaken as firms face higher borrowing costs, the government tries to rein in credit and policymakers step up a war on pollution that has hurt the industrial sector in many parts of the country.</w:t>
      </w:r>
    </w:p>
    <w:p w14:paraId="1F95CCF9" w14:textId="77777777" w:rsidR="00360CD4" w:rsidRPr="00360CD4" w:rsidRDefault="00360CD4" w:rsidP="00360CD4">
      <w:pPr>
        <w:spacing w:after="0" w:line="240" w:lineRule="auto"/>
        <w:jc w:val="both"/>
        <w:rPr>
          <w:rFonts w:ascii="Arial" w:hAnsi="Arial" w:cs="Arial"/>
          <w:sz w:val="26"/>
          <w:szCs w:val="26"/>
          <w:lang w:val="en-US"/>
        </w:rPr>
      </w:pPr>
    </w:p>
    <w:p w14:paraId="50E5313E"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accessed 18.01.2018</w:t>
      </w:r>
    </w:p>
    <w:p w14:paraId="039EE7A0" w14:textId="77777777" w:rsidR="00360CD4" w:rsidRPr="00360CD4" w:rsidRDefault="00360CD4" w:rsidP="00360CD4">
      <w:pPr>
        <w:spacing w:after="0" w:line="240" w:lineRule="auto"/>
        <w:jc w:val="both"/>
        <w:rPr>
          <w:rFonts w:ascii="Arial" w:hAnsi="Arial" w:cs="Arial"/>
          <w:sz w:val="26"/>
          <w:szCs w:val="26"/>
          <w:lang w:val="en-US"/>
        </w:rPr>
      </w:pPr>
    </w:p>
    <w:p w14:paraId="029104D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2289F46" w14:textId="3FF058F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9: The effects of weather-shocks on economic activity: How can countries cope?</w:t>
      </w:r>
    </w:p>
    <w:p w14:paraId="6B72F21B" w14:textId="77777777" w:rsidR="00360CD4" w:rsidRPr="00360CD4" w:rsidRDefault="00360CD4" w:rsidP="00360CD4">
      <w:pPr>
        <w:spacing w:after="0" w:line="240" w:lineRule="auto"/>
        <w:jc w:val="both"/>
        <w:rPr>
          <w:rFonts w:ascii="Arial" w:hAnsi="Arial" w:cs="Arial"/>
          <w:sz w:val="26"/>
          <w:szCs w:val="26"/>
          <w:lang w:val="en-US"/>
        </w:rPr>
      </w:pPr>
    </w:p>
    <w:p w14:paraId="33BEE00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Global temperatures have increased at an unprecedented pace over the past 40 years, and significant further warming could occur, depending on our ability to restrain greenhouse gas emissions, of which has been strongly coupled with increasing economic activities. The greenhouse gas emissions that cause climate change are emitted mainly from burning fossil fuels such as coal, oil and natural gas, which is the most important source of greenhouse gas emissions.</w:t>
      </w:r>
    </w:p>
    <w:p w14:paraId="3CA67FBC" w14:textId="77777777" w:rsidR="00360CD4" w:rsidRPr="00360CD4" w:rsidRDefault="00360CD4" w:rsidP="00360CD4">
      <w:pPr>
        <w:spacing w:after="0" w:line="240" w:lineRule="auto"/>
        <w:jc w:val="both"/>
        <w:rPr>
          <w:rFonts w:ascii="Arial" w:hAnsi="Arial" w:cs="Arial"/>
          <w:sz w:val="26"/>
          <w:szCs w:val="26"/>
          <w:lang w:val="en-US"/>
        </w:rPr>
      </w:pPr>
    </w:p>
    <w:p w14:paraId="5A7F12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 Increases in temperature have uneven macroeconomic effects, with adverse consequences concentrated in countries with relatively hot climates, such as most low-income countries. Extreme weather events, such as heat waves, droughts, and floods, are likely to become more frequent, and sea levels will rise, all of which in both the short and medium term, reduces output, suppresses the productivity of workers exposed to heat, slowing investment, and damaging health.</w:t>
      </w:r>
    </w:p>
    <w:p w14:paraId="57F2FC92"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1FD05B7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Strategies that reduce specific climate change effects and risks could also be part of the toolkit for reducing the economic damage caused by climate change. Countries negatively affected by climate change will need to increase their resilience to rising temperatures and extreme weather events, both by enhancing their ability to smooth out shocks, which could become more frequent, and by investing in strategies, such as activity diversification, infrastructure investment, and technology innovation, that reduce the harm they do. Populations may also respond to changing climatic conditions by relocating geographically, which could have important cross-border impact. But putting in place the right policies will be particularly difficult in low-income countries, which have huge spending needs and limited ability to mobilize the resources necessary for adaptation in a challenging economic environment.</w:t>
      </w:r>
    </w:p>
    <w:p w14:paraId="175273D9" w14:textId="77777777" w:rsidR="00360CD4" w:rsidRPr="00360CD4" w:rsidRDefault="00360CD4" w:rsidP="00360CD4">
      <w:pPr>
        <w:spacing w:after="0" w:line="240" w:lineRule="auto"/>
        <w:jc w:val="both"/>
        <w:rPr>
          <w:rFonts w:ascii="Arial" w:hAnsi="Arial" w:cs="Arial"/>
          <w:sz w:val="26"/>
          <w:szCs w:val="26"/>
          <w:lang w:val="en-US"/>
        </w:rPr>
      </w:pPr>
    </w:p>
    <w:p w14:paraId="51331077"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2F0B8DC2" w14:textId="77777777" w:rsidR="00360CD4" w:rsidRPr="00360CD4" w:rsidRDefault="00360CD4" w:rsidP="00360CD4">
      <w:pPr>
        <w:spacing w:after="0" w:line="240" w:lineRule="auto"/>
        <w:jc w:val="both"/>
        <w:rPr>
          <w:rFonts w:ascii="Arial" w:hAnsi="Arial" w:cs="Arial"/>
          <w:sz w:val="26"/>
          <w:szCs w:val="26"/>
          <w:lang w:val="en-US"/>
        </w:rPr>
      </w:pPr>
    </w:p>
    <w:p w14:paraId="55AE4948"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694A0DDC" w14:textId="5AC51472" w:rsidR="00360CD4" w:rsidRPr="00360CD4" w:rsidRDefault="00360CD4" w:rsidP="00360CD4">
      <w:pPr>
        <w:spacing w:after="0" w:line="240" w:lineRule="auto"/>
        <w:jc w:val="both"/>
        <w:rPr>
          <w:rFonts w:ascii="Arial" w:hAnsi="Arial" w:cs="Arial"/>
          <w:b/>
          <w:bCs/>
          <w:sz w:val="26"/>
          <w:szCs w:val="26"/>
          <w:lang w:val="en-US"/>
        </w:rPr>
      </w:pPr>
      <w:r>
        <w:rPr>
          <w:rFonts w:ascii="Arial" w:hAnsi="Arial" w:cs="Arial"/>
          <w:b/>
          <w:bCs/>
          <w:sz w:val="26"/>
          <w:szCs w:val="26"/>
          <w:lang w:val="en-US"/>
        </w:rPr>
        <w:t>Questions:</w:t>
      </w:r>
    </w:p>
    <w:p w14:paraId="067B23E3" w14:textId="77777777" w:rsidR="00360CD4" w:rsidRDefault="00360CD4" w:rsidP="00360CD4">
      <w:pPr>
        <w:spacing w:after="0" w:line="240" w:lineRule="auto"/>
        <w:jc w:val="both"/>
        <w:rPr>
          <w:rFonts w:ascii="Arial" w:hAnsi="Arial" w:cs="Arial"/>
          <w:sz w:val="26"/>
          <w:szCs w:val="26"/>
          <w:lang w:val="en-US"/>
        </w:rPr>
      </w:pPr>
    </w:p>
    <w:p w14:paraId="5902AE93" w14:textId="3FED1CE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w:t>
      </w:r>
      <w:proofErr w:type="spellStart"/>
      <w:r w:rsidRPr="00360CD4">
        <w:rPr>
          <w:rFonts w:ascii="Arial" w:hAnsi="Arial" w:cs="Arial"/>
          <w:sz w:val="26"/>
          <w:szCs w:val="26"/>
          <w:lang w:val="en-US"/>
        </w:rPr>
        <w:t>i</w:t>
      </w:r>
      <w:proofErr w:type="spellEnd"/>
      <w:r w:rsidRPr="00360CD4">
        <w:rPr>
          <w:rFonts w:ascii="Arial" w:hAnsi="Arial" w:cs="Arial"/>
          <w:sz w:val="26"/>
          <w:szCs w:val="26"/>
          <w:lang w:val="en-US"/>
        </w:rPr>
        <w:t>)</w:t>
      </w:r>
      <w:r>
        <w:rPr>
          <w:rFonts w:ascii="Arial" w:hAnsi="Arial" w:cs="Arial"/>
          <w:sz w:val="26"/>
          <w:szCs w:val="26"/>
          <w:lang w:val="en-US"/>
        </w:rPr>
        <w:t xml:space="preserve"> </w:t>
      </w:r>
      <w:r w:rsidRPr="00360CD4">
        <w:rPr>
          <w:rFonts w:ascii="Arial" w:hAnsi="Arial" w:cs="Arial"/>
          <w:sz w:val="26"/>
          <w:szCs w:val="26"/>
          <w:lang w:val="en-US"/>
        </w:rPr>
        <w:t>Explain what is meant by real GDP per capita.</w:t>
      </w:r>
      <w:r>
        <w:rPr>
          <w:rFonts w:ascii="Arial" w:hAnsi="Arial" w:cs="Arial"/>
          <w:sz w:val="26"/>
          <w:szCs w:val="26"/>
          <w:lang w:val="en-US"/>
        </w:rPr>
        <w:t xml:space="preserve"> </w:t>
      </w:r>
      <w:r w:rsidRPr="00360CD4">
        <w:rPr>
          <w:rFonts w:ascii="Arial" w:hAnsi="Arial" w:cs="Arial"/>
          <w:sz w:val="26"/>
          <w:szCs w:val="26"/>
          <w:lang w:val="en-US"/>
        </w:rPr>
        <w:t>[2]</w:t>
      </w:r>
    </w:p>
    <w:p w14:paraId="56F02EB1" w14:textId="77777777" w:rsidR="00360CD4" w:rsidRPr="00360CD4" w:rsidRDefault="00360CD4" w:rsidP="00360CD4">
      <w:pPr>
        <w:spacing w:after="0" w:line="240" w:lineRule="auto"/>
        <w:jc w:val="both"/>
        <w:rPr>
          <w:rFonts w:ascii="Arial" w:hAnsi="Arial" w:cs="Arial"/>
          <w:sz w:val="26"/>
          <w:szCs w:val="26"/>
          <w:lang w:val="en-US"/>
        </w:rPr>
      </w:pPr>
    </w:p>
    <w:p w14:paraId="3AD90A55" w14:textId="1BE8E206"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(ii) With reference to data, compare the likely changes in living standards of China and United States during the period 2013 to 2017 and comment on the validity of the conclusion base on the data given. [7]</w:t>
      </w:r>
    </w:p>
    <w:p w14:paraId="336E2F47" w14:textId="77777777" w:rsidR="00360CD4" w:rsidRPr="00360CD4" w:rsidRDefault="00360CD4" w:rsidP="00360CD4">
      <w:pPr>
        <w:spacing w:after="0" w:line="240" w:lineRule="auto"/>
        <w:jc w:val="both"/>
        <w:rPr>
          <w:rFonts w:ascii="Arial" w:hAnsi="Arial" w:cs="Arial"/>
          <w:sz w:val="26"/>
          <w:szCs w:val="26"/>
          <w:lang w:val="en-US"/>
        </w:rPr>
      </w:pPr>
    </w:p>
    <w:p w14:paraId="25188CD0" w14:textId="6E4B99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w:t>
      </w:r>
      <w:r>
        <w:rPr>
          <w:rFonts w:ascii="Arial" w:hAnsi="Arial" w:cs="Arial"/>
          <w:sz w:val="26"/>
          <w:szCs w:val="26"/>
          <w:lang w:val="en-US"/>
        </w:rPr>
        <w:t xml:space="preserve"> </w:t>
      </w:r>
      <w:r w:rsidRPr="00360CD4">
        <w:rPr>
          <w:rFonts w:ascii="Arial" w:hAnsi="Arial" w:cs="Arial"/>
          <w:sz w:val="26"/>
          <w:szCs w:val="26"/>
          <w:lang w:val="en-US"/>
        </w:rPr>
        <w:t>Using Extract 6, explain why commodity exporters, are particularly hit hard</w:t>
      </w:r>
    </w:p>
    <w:p w14:paraId="39DECF1F" w14:textId="19C4E27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oil prices fall.</w:t>
      </w:r>
      <w:r>
        <w:rPr>
          <w:rFonts w:ascii="Arial" w:hAnsi="Arial" w:cs="Arial"/>
          <w:sz w:val="26"/>
          <w:szCs w:val="26"/>
          <w:lang w:val="en-US"/>
        </w:rPr>
        <w:t xml:space="preserve"> </w:t>
      </w:r>
      <w:r w:rsidRPr="00360CD4">
        <w:rPr>
          <w:rFonts w:ascii="Arial" w:hAnsi="Arial" w:cs="Arial"/>
          <w:sz w:val="26"/>
          <w:szCs w:val="26"/>
          <w:lang w:val="en-US"/>
        </w:rPr>
        <w:t>[3]</w:t>
      </w:r>
    </w:p>
    <w:p w14:paraId="33BC9DA5" w14:textId="77777777" w:rsidR="00360CD4" w:rsidRPr="00360CD4" w:rsidRDefault="00360CD4" w:rsidP="00360CD4">
      <w:pPr>
        <w:spacing w:after="0" w:line="240" w:lineRule="auto"/>
        <w:jc w:val="both"/>
        <w:rPr>
          <w:rFonts w:ascii="Arial" w:hAnsi="Arial" w:cs="Arial"/>
          <w:sz w:val="26"/>
          <w:szCs w:val="26"/>
          <w:lang w:val="en-US"/>
        </w:rPr>
      </w:pPr>
    </w:p>
    <w:p w14:paraId="65F8A46C" w14:textId="3FF1E991"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(c) Using an AD/AS diagram, explain how the fall in the pound after the Brexit     vote could have led to higher inflation in the UK. [5]</w:t>
      </w:r>
    </w:p>
    <w:p w14:paraId="0EC8A924" w14:textId="77777777" w:rsidR="00360CD4" w:rsidRPr="00360CD4" w:rsidRDefault="00360CD4" w:rsidP="00360CD4">
      <w:pPr>
        <w:spacing w:after="0" w:line="240" w:lineRule="auto"/>
        <w:jc w:val="both"/>
        <w:rPr>
          <w:rFonts w:ascii="Arial" w:hAnsi="Arial" w:cs="Arial"/>
          <w:sz w:val="26"/>
          <w:szCs w:val="26"/>
          <w:lang w:val="en-US"/>
        </w:rPr>
      </w:pPr>
    </w:p>
    <w:p w14:paraId="264B2C62" w14:textId="77777777" w:rsidR="00360CD4" w:rsidRPr="00975F5E" w:rsidRDefault="00360CD4" w:rsidP="00360CD4">
      <w:pPr>
        <w:spacing w:after="0" w:line="240" w:lineRule="auto"/>
        <w:jc w:val="both"/>
        <w:rPr>
          <w:rFonts w:ascii="Arial" w:hAnsi="Arial" w:cs="Arial"/>
          <w:sz w:val="26"/>
          <w:szCs w:val="26"/>
          <w:highlight w:val="yellow"/>
          <w:lang w:val="en-US"/>
        </w:rPr>
      </w:pPr>
      <w:r w:rsidRPr="00975F5E">
        <w:rPr>
          <w:rFonts w:ascii="Arial" w:hAnsi="Arial" w:cs="Arial"/>
          <w:sz w:val="26"/>
          <w:szCs w:val="26"/>
          <w:highlight w:val="yellow"/>
          <w:lang w:val="en-US"/>
        </w:rPr>
        <w:t xml:space="preserve">(d) Extract 7 suggest that the Bank of England is preparing to raise interest rates as the Britain’s economy recovers. </w:t>
      </w:r>
    </w:p>
    <w:p w14:paraId="6E18BBAE" w14:textId="77777777" w:rsidR="00360CD4" w:rsidRPr="00975F5E" w:rsidRDefault="00360CD4" w:rsidP="00360CD4">
      <w:pPr>
        <w:spacing w:after="0" w:line="240" w:lineRule="auto"/>
        <w:jc w:val="both"/>
        <w:rPr>
          <w:rFonts w:ascii="Arial" w:hAnsi="Arial" w:cs="Arial"/>
          <w:sz w:val="26"/>
          <w:szCs w:val="26"/>
          <w:highlight w:val="yellow"/>
          <w:lang w:val="en-US"/>
        </w:rPr>
      </w:pPr>
    </w:p>
    <w:p w14:paraId="0856A2B2" w14:textId="30EC5AF9"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Explain two possible factors that would affect the Bank of England’s decision to raise the interest rates. [4]</w:t>
      </w:r>
    </w:p>
    <w:p w14:paraId="7EAC4766" w14:textId="77777777" w:rsidR="00360CD4" w:rsidRPr="00360CD4" w:rsidRDefault="00360CD4" w:rsidP="00360CD4">
      <w:pPr>
        <w:spacing w:after="0" w:line="240" w:lineRule="auto"/>
        <w:jc w:val="both"/>
        <w:rPr>
          <w:rFonts w:ascii="Arial" w:hAnsi="Arial" w:cs="Arial"/>
          <w:sz w:val="26"/>
          <w:szCs w:val="26"/>
          <w:lang w:val="en-US"/>
        </w:rPr>
      </w:pPr>
    </w:p>
    <w:p w14:paraId="323C11DC" w14:textId="3C33D135"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w:t>
      </w:r>
      <w:r>
        <w:rPr>
          <w:rFonts w:ascii="Arial" w:hAnsi="Arial" w:cs="Arial"/>
          <w:sz w:val="26"/>
          <w:szCs w:val="26"/>
          <w:lang w:val="en-US"/>
        </w:rPr>
        <w:t xml:space="preserve"> </w:t>
      </w:r>
      <w:r w:rsidRPr="00360CD4">
        <w:rPr>
          <w:rFonts w:ascii="Arial" w:hAnsi="Arial" w:cs="Arial"/>
          <w:sz w:val="26"/>
          <w:szCs w:val="26"/>
          <w:lang w:val="en-US"/>
        </w:rPr>
        <w:t>With reference to Extract 9, explain the market failure</w:t>
      </w:r>
      <w:r>
        <w:rPr>
          <w:rFonts w:ascii="Arial" w:hAnsi="Arial" w:cs="Arial"/>
          <w:sz w:val="26"/>
          <w:szCs w:val="26"/>
          <w:lang w:val="en-US"/>
        </w:rPr>
        <w:t xml:space="preserve"> </w:t>
      </w:r>
      <w:r w:rsidRPr="00360CD4">
        <w:rPr>
          <w:rFonts w:ascii="Arial" w:hAnsi="Arial" w:cs="Arial"/>
          <w:sz w:val="26"/>
          <w:szCs w:val="26"/>
          <w:lang w:val="en-US"/>
        </w:rPr>
        <w:t>associated with increasing economic activity.</w:t>
      </w:r>
      <w:r>
        <w:rPr>
          <w:rFonts w:ascii="Arial" w:hAnsi="Arial" w:cs="Arial"/>
          <w:sz w:val="26"/>
          <w:szCs w:val="26"/>
          <w:lang w:val="en-US"/>
        </w:rPr>
        <w:t xml:space="preserve"> </w:t>
      </w:r>
      <w:r w:rsidRPr="00360CD4">
        <w:rPr>
          <w:rFonts w:ascii="Arial" w:hAnsi="Arial" w:cs="Arial"/>
          <w:sz w:val="26"/>
          <w:szCs w:val="26"/>
          <w:lang w:val="en-US"/>
        </w:rPr>
        <w:t>[4]</w:t>
      </w:r>
    </w:p>
    <w:p w14:paraId="4585FDDD" w14:textId="77777777" w:rsidR="00360CD4" w:rsidRPr="00360CD4" w:rsidRDefault="00360CD4" w:rsidP="00360CD4">
      <w:pPr>
        <w:spacing w:after="0" w:line="240" w:lineRule="auto"/>
        <w:jc w:val="both"/>
        <w:rPr>
          <w:rFonts w:ascii="Arial" w:hAnsi="Arial" w:cs="Arial"/>
          <w:sz w:val="26"/>
          <w:szCs w:val="26"/>
          <w:lang w:val="en-US"/>
        </w:rPr>
      </w:pPr>
    </w:p>
    <w:p w14:paraId="4068D210" w14:textId="7BFBAB0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w:t>
      </w:r>
      <w:r>
        <w:rPr>
          <w:rFonts w:ascii="Arial" w:hAnsi="Arial" w:cs="Arial"/>
          <w:sz w:val="26"/>
          <w:szCs w:val="26"/>
          <w:lang w:val="en-US"/>
        </w:rPr>
        <w:t xml:space="preserve"> </w:t>
      </w: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w:t>
      </w:r>
    </w:p>
    <w:p w14:paraId="104F944B" w14:textId="77777777" w:rsidR="00360CD4" w:rsidRPr="00360CD4" w:rsidRDefault="00360CD4" w:rsidP="00360CD4">
      <w:pPr>
        <w:spacing w:after="0" w:line="240" w:lineRule="auto"/>
        <w:jc w:val="both"/>
        <w:rPr>
          <w:rFonts w:ascii="Arial" w:hAnsi="Arial" w:cs="Arial"/>
          <w:sz w:val="26"/>
          <w:szCs w:val="26"/>
          <w:lang w:val="en-US"/>
        </w:rPr>
      </w:pPr>
    </w:p>
    <w:p w14:paraId="57F8CAF9" w14:textId="637396A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Discuss the macroeconomic impact of the rise in temperatures on different countries.</w:t>
      </w:r>
      <w:r>
        <w:rPr>
          <w:rFonts w:ascii="Arial" w:hAnsi="Arial" w:cs="Arial"/>
          <w:sz w:val="26"/>
          <w:szCs w:val="26"/>
          <w:lang w:val="en-US"/>
        </w:rPr>
        <w:t xml:space="preserve"> </w:t>
      </w:r>
      <w:r w:rsidRPr="00360CD4">
        <w:rPr>
          <w:rFonts w:ascii="Arial" w:hAnsi="Arial" w:cs="Arial"/>
          <w:sz w:val="26"/>
          <w:szCs w:val="26"/>
          <w:lang w:val="en-US"/>
        </w:rPr>
        <w:t>[8]</w:t>
      </w:r>
    </w:p>
    <w:p w14:paraId="7E8FA877" w14:textId="77777777" w:rsidR="00360CD4" w:rsidRPr="00360CD4" w:rsidRDefault="00360CD4" w:rsidP="00360CD4">
      <w:pPr>
        <w:spacing w:after="0" w:line="240" w:lineRule="auto"/>
        <w:jc w:val="both"/>
        <w:rPr>
          <w:rFonts w:ascii="Arial" w:hAnsi="Arial" w:cs="Arial"/>
          <w:sz w:val="26"/>
          <w:szCs w:val="26"/>
          <w:lang w:val="en-US"/>
        </w:rPr>
      </w:pPr>
    </w:p>
    <w:p w14:paraId="4F3D5796" w14:textId="4539C20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w:t>
      </w:r>
      <w:r>
        <w:rPr>
          <w:rFonts w:ascii="Arial" w:hAnsi="Arial" w:cs="Arial"/>
          <w:sz w:val="26"/>
          <w:szCs w:val="26"/>
          <w:lang w:val="en-US"/>
        </w:rPr>
        <w:t xml:space="preserve"> </w:t>
      </w:r>
      <w:r w:rsidRPr="00360CD4">
        <w:rPr>
          <w:rFonts w:ascii="Arial" w:hAnsi="Arial" w:cs="Arial"/>
          <w:sz w:val="26"/>
          <w:szCs w:val="26"/>
          <w:lang w:val="en-US"/>
        </w:rPr>
        <w:t>Using evidence from the case study and/or your own knowledge, discuss</w:t>
      </w:r>
      <w:r>
        <w:rPr>
          <w:rFonts w:ascii="Arial" w:hAnsi="Arial" w:cs="Arial"/>
          <w:sz w:val="26"/>
          <w:szCs w:val="26"/>
          <w:lang w:val="en-US"/>
        </w:rPr>
        <w:t xml:space="preserve"> </w:t>
      </w:r>
      <w:r w:rsidRPr="00360CD4">
        <w:rPr>
          <w:rFonts w:ascii="Arial" w:hAnsi="Arial" w:cs="Arial"/>
          <w:sz w:val="26"/>
          <w:szCs w:val="26"/>
          <w:lang w:val="en-US"/>
        </w:rPr>
        <w:t>the policies governments can take to boost sustainable growth.</w:t>
      </w:r>
      <w:r>
        <w:rPr>
          <w:rFonts w:ascii="Arial" w:hAnsi="Arial" w:cs="Arial"/>
          <w:sz w:val="26"/>
          <w:szCs w:val="26"/>
          <w:lang w:val="en-US"/>
        </w:rPr>
        <w:t xml:space="preserve"> </w:t>
      </w:r>
      <w:r w:rsidRPr="00360CD4">
        <w:rPr>
          <w:rFonts w:ascii="Arial" w:hAnsi="Arial" w:cs="Arial"/>
          <w:sz w:val="26"/>
          <w:szCs w:val="26"/>
          <w:lang w:val="en-US"/>
        </w:rPr>
        <w:t>[12]</w:t>
      </w:r>
    </w:p>
    <w:p w14:paraId="7F55E510" w14:textId="77777777" w:rsidR="00360CD4" w:rsidRPr="00360CD4" w:rsidRDefault="00360CD4" w:rsidP="00360CD4">
      <w:pPr>
        <w:spacing w:after="0" w:line="240" w:lineRule="auto"/>
        <w:jc w:val="both"/>
        <w:rPr>
          <w:rFonts w:ascii="Arial" w:hAnsi="Arial" w:cs="Arial"/>
          <w:sz w:val="26"/>
          <w:szCs w:val="26"/>
          <w:lang w:val="en-US"/>
        </w:rPr>
      </w:pPr>
    </w:p>
    <w:p w14:paraId="12BB1219" w14:textId="766AD420" w:rsid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[Total: 45 marks]</w:t>
      </w:r>
    </w:p>
    <w:p w14:paraId="55FCC80E" w14:textId="69ED7DF7" w:rsidR="00892AEF" w:rsidRPr="00722CB5" w:rsidRDefault="00892AEF" w:rsidP="00722CB5">
      <w:pPr>
        <w:rPr>
          <w:rFonts w:ascii="Arial" w:hAnsi="Arial" w:cs="Arial"/>
          <w:sz w:val="26"/>
          <w:szCs w:val="26"/>
          <w:lang w:val="en-US"/>
        </w:rPr>
      </w:pPr>
    </w:p>
    <w:sectPr w:rsidR="00892AEF" w:rsidRPr="00722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C30BBA"/>
    <w:multiLevelType w:val="hybridMultilevel"/>
    <w:tmpl w:val="B068F6A8"/>
    <w:lvl w:ilvl="0" w:tplc="5E4C0C36">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651F26"/>
    <w:multiLevelType w:val="hybridMultilevel"/>
    <w:tmpl w:val="31D2D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4"/>
    <w:rsid w:val="001808FC"/>
    <w:rsid w:val="00190A8F"/>
    <w:rsid w:val="002D723B"/>
    <w:rsid w:val="00360CD4"/>
    <w:rsid w:val="00387696"/>
    <w:rsid w:val="004B04DE"/>
    <w:rsid w:val="005405C2"/>
    <w:rsid w:val="005C19E3"/>
    <w:rsid w:val="006E5AEF"/>
    <w:rsid w:val="00717D24"/>
    <w:rsid w:val="00722CB5"/>
    <w:rsid w:val="00742D74"/>
    <w:rsid w:val="007832BC"/>
    <w:rsid w:val="007D4B1E"/>
    <w:rsid w:val="007F67AF"/>
    <w:rsid w:val="00872761"/>
    <w:rsid w:val="00892AEF"/>
    <w:rsid w:val="008F6E24"/>
    <w:rsid w:val="00975F5E"/>
    <w:rsid w:val="00BC3595"/>
    <w:rsid w:val="00CE1D94"/>
    <w:rsid w:val="00E9009B"/>
    <w:rsid w:val="00EB698F"/>
    <w:rsid w:val="00F009FE"/>
    <w:rsid w:val="00FC52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42B"/>
  <w15:chartTrackingRefBased/>
  <w15:docId w15:val="{F8DF214C-4687-4A50-9AD8-C58F225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96"/>
    <w:pPr>
      <w:ind w:left="720"/>
      <w:contextualSpacing/>
    </w:pPr>
  </w:style>
  <w:style w:type="paragraph" w:styleId="BodyText">
    <w:name w:val="Body Text"/>
    <w:basedOn w:val="Normal"/>
    <w:link w:val="BodyTextChar"/>
    <w:uiPriority w:val="1"/>
    <w:qFormat/>
    <w:rsid w:val="00872761"/>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72761"/>
    <w:rPr>
      <w:rFonts w:ascii="Arial" w:eastAsia="Arial" w:hAnsi="Arial" w:cs="Arial"/>
      <w:sz w:val="24"/>
      <w:szCs w:val="24"/>
      <w:lang w:val="en-US" w:eastAsia="en-US"/>
    </w:rPr>
  </w:style>
  <w:style w:type="character" w:styleId="Hyperlink">
    <w:name w:val="Hyperlink"/>
    <w:basedOn w:val="DefaultParagraphFont"/>
    <w:uiPriority w:val="99"/>
    <w:unhideWhenUsed/>
    <w:rsid w:val="008F6E24"/>
    <w:rPr>
      <w:color w:val="0563C1" w:themeColor="hyperlink"/>
      <w:u w:val="single"/>
    </w:rPr>
  </w:style>
  <w:style w:type="character" w:styleId="UnresolvedMention">
    <w:name w:val="Unresolved Mention"/>
    <w:basedOn w:val="DefaultParagraphFont"/>
    <w:uiPriority w:val="99"/>
    <w:semiHidden/>
    <w:unhideWhenUsed/>
    <w:rsid w:val="008F6E24"/>
    <w:rPr>
      <w:color w:val="605E5C"/>
      <w:shd w:val="clear" w:color="auto" w:fill="E1DFDD"/>
    </w:rPr>
  </w:style>
  <w:style w:type="paragraph" w:styleId="BalloonText">
    <w:name w:val="Balloon Text"/>
    <w:basedOn w:val="Normal"/>
    <w:link w:val="BalloonTextChar"/>
    <w:uiPriority w:val="99"/>
    <w:semiHidden/>
    <w:unhideWhenUsed/>
    <w:rsid w:val="0097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3</cp:revision>
  <cp:lastPrinted>2019-10-12T08:03:00Z</cp:lastPrinted>
  <dcterms:created xsi:type="dcterms:W3CDTF">2020-10-16T02:16:00Z</dcterms:created>
  <dcterms:modified xsi:type="dcterms:W3CDTF">2020-10-16T03:20:00Z</dcterms:modified>
</cp:coreProperties>
</file>