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8023" w14:textId="77777777" w:rsidR="003B609C" w:rsidRDefault="003B609C" w:rsidP="00A676B9">
      <w:pPr>
        <w:spacing w:after="0" w:line="240" w:lineRule="auto"/>
        <w:jc w:val="both"/>
        <w:rPr>
          <w:rFonts w:ascii="Arial" w:hAnsi="Arial" w:cs="Arial"/>
          <w:b/>
          <w:sz w:val="24"/>
          <w:szCs w:val="24"/>
        </w:rPr>
      </w:pPr>
    </w:p>
    <w:p w14:paraId="3D88BCDA" w14:textId="2EA6B7DB" w:rsidR="00A676B9" w:rsidRPr="00A676B9" w:rsidRDefault="00A676B9" w:rsidP="00A676B9">
      <w:pPr>
        <w:spacing w:after="0" w:line="240" w:lineRule="auto"/>
        <w:jc w:val="both"/>
        <w:rPr>
          <w:rFonts w:ascii="Arial" w:hAnsi="Arial" w:cs="Arial"/>
          <w:b/>
          <w:sz w:val="24"/>
          <w:szCs w:val="24"/>
        </w:rPr>
      </w:pPr>
      <w:r w:rsidRPr="00A676B9">
        <w:rPr>
          <w:rFonts w:ascii="Arial" w:hAnsi="Arial" w:cs="Arial"/>
          <w:b/>
          <w:sz w:val="24"/>
          <w:szCs w:val="24"/>
        </w:rPr>
        <w:t>J2 H2 Economics CSQ – AS-AD Analysis &amp; National Income Determination</w:t>
      </w:r>
    </w:p>
    <w:p w14:paraId="41C1BDEE" w14:textId="77777777" w:rsidR="00A676B9" w:rsidRPr="00A676B9" w:rsidRDefault="00A676B9" w:rsidP="00A676B9">
      <w:pPr>
        <w:spacing w:after="0" w:line="240" w:lineRule="auto"/>
        <w:jc w:val="both"/>
        <w:rPr>
          <w:rFonts w:ascii="Arial" w:hAnsi="Arial" w:cs="Arial"/>
          <w:b/>
          <w:sz w:val="24"/>
          <w:szCs w:val="24"/>
        </w:rPr>
      </w:pPr>
    </w:p>
    <w:p w14:paraId="40A018EB" w14:textId="77777777" w:rsidR="00A676B9" w:rsidRPr="00A676B9" w:rsidRDefault="00A676B9" w:rsidP="00A676B9">
      <w:pPr>
        <w:spacing w:after="0" w:line="240" w:lineRule="auto"/>
        <w:jc w:val="center"/>
        <w:rPr>
          <w:rFonts w:ascii="Arial" w:hAnsi="Arial" w:cs="Arial"/>
          <w:b/>
          <w:sz w:val="24"/>
          <w:szCs w:val="24"/>
        </w:rPr>
      </w:pPr>
      <w:r w:rsidRPr="00A676B9">
        <w:rPr>
          <w:rFonts w:ascii="Arial" w:hAnsi="Arial" w:cs="Arial"/>
          <w:b/>
          <w:sz w:val="24"/>
          <w:szCs w:val="24"/>
        </w:rPr>
        <w:t xml:space="preserve">Rebalancing to generate growth </w:t>
      </w:r>
    </w:p>
    <w:p w14:paraId="58E8D7D2" w14:textId="77777777" w:rsidR="00A676B9" w:rsidRPr="00A676B9" w:rsidRDefault="00A676B9" w:rsidP="00A676B9">
      <w:pPr>
        <w:spacing w:after="0" w:line="240" w:lineRule="auto"/>
        <w:jc w:val="center"/>
        <w:rPr>
          <w:rFonts w:ascii="Arial" w:hAnsi="Arial" w:cs="Arial"/>
          <w:b/>
          <w:sz w:val="24"/>
          <w:szCs w:val="24"/>
        </w:rPr>
      </w:pPr>
      <w:r w:rsidRPr="00A676B9">
        <w:rPr>
          <w:rFonts w:ascii="Arial" w:hAnsi="Arial" w:cs="Arial"/>
          <w:b/>
          <w:sz w:val="24"/>
          <w:szCs w:val="24"/>
        </w:rPr>
        <w:t xml:space="preserve"> </w:t>
      </w:r>
    </w:p>
    <w:p w14:paraId="6A05873D" w14:textId="3CBE908F" w:rsidR="00A676B9" w:rsidRDefault="00A676B9" w:rsidP="00A676B9">
      <w:pPr>
        <w:spacing w:after="0" w:line="240" w:lineRule="auto"/>
        <w:jc w:val="both"/>
        <w:rPr>
          <w:rFonts w:ascii="Arial" w:hAnsi="Arial" w:cs="Arial"/>
          <w:b/>
          <w:bCs/>
          <w:sz w:val="24"/>
          <w:szCs w:val="24"/>
        </w:rPr>
      </w:pPr>
      <w:r w:rsidRPr="00A676B9">
        <w:rPr>
          <w:rFonts w:ascii="Arial" w:hAnsi="Arial" w:cs="Arial"/>
          <w:b/>
          <w:bCs/>
          <w:sz w:val="24"/>
          <w:szCs w:val="24"/>
        </w:rPr>
        <w:t xml:space="preserve">Extract 5: China’s economic growth misses target </w:t>
      </w:r>
    </w:p>
    <w:p w14:paraId="75BC9EFA" w14:textId="77777777" w:rsidR="00A676B9" w:rsidRPr="00A676B9" w:rsidRDefault="00A676B9" w:rsidP="00A676B9">
      <w:pPr>
        <w:spacing w:after="0" w:line="240" w:lineRule="auto"/>
        <w:jc w:val="both"/>
        <w:rPr>
          <w:rFonts w:ascii="Arial" w:hAnsi="Arial" w:cs="Arial"/>
          <w:b/>
          <w:bCs/>
          <w:sz w:val="24"/>
          <w:szCs w:val="24"/>
        </w:rPr>
      </w:pPr>
    </w:p>
    <w:p w14:paraId="712220E6" w14:textId="5D4F0782" w:rsidR="00A676B9" w:rsidRPr="00A676B9" w:rsidRDefault="00A676B9" w:rsidP="00A676B9">
      <w:pPr>
        <w:pStyle w:val="NormalWeb"/>
        <w:spacing w:before="0" w:beforeAutospacing="0" w:after="0" w:afterAutospacing="0"/>
        <w:jc w:val="both"/>
        <w:rPr>
          <w:rFonts w:ascii="Arial" w:hAnsi="Arial" w:cs="Arial"/>
          <w:shd w:val="clear" w:color="auto" w:fill="FFFFFF"/>
        </w:rPr>
      </w:pPr>
      <w:r w:rsidRPr="00A676B9">
        <w:rPr>
          <w:rFonts w:ascii="Arial" w:hAnsi="Arial" w:cs="Arial"/>
          <w:shd w:val="clear" w:color="auto" w:fill="FFFFFF"/>
        </w:rPr>
        <w:t>China's economy grew 7.4 percent in 2014, at its slowest pace in 24 years as property prices cooled and companies and local governments struggled under heavy debt burdens, keeping pressure on Beijing to take aggressive steps to avoid a sharper downturn.</w:t>
      </w:r>
    </w:p>
    <w:p w14:paraId="3BDFF678" w14:textId="77777777" w:rsidR="00A676B9" w:rsidRPr="00A676B9" w:rsidRDefault="00A676B9" w:rsidP="00A676B9">
      <w:pPr>
        <w:pStyle w:val="NormalWeb"/>
        <w:spacing w:before="0" w:beforeAutospacing="0" w:after="0" w:afterAutospacing="0"/>
        <w:jc w:val="both"/>
        <w:rPr>
          <w:rFonts w:ascii="Arial" w:hAnsi="Arial" w:cs="Arial"/>
          <w:shd w:val="clear" w:color="auto" w:fill="FFFFFF"/>
        </w:rPr>
      </w:pPr>
    </w:p>
    <w:p w14:paraId="45550D6B" w14:textId="19FF372F" w:rsidR="00A676B9" w:rsidRP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A further slowdown in China could hinder the chances of a revival in global growth in 2015, given the major role it plays, in particular for commodities and high-tech. China's property market - a major driver of demand across a range of industries - has proven stubbornly unresponsive to policy support, and lending data from the banking system shows enduring weakness. At the same time, there may be a looming fiscal crisis among debt-sodden local governments, which depend on land sales for most of their revenue. And more companies, especially small property developers, could flirt with default.</w:t>
      </w:r>
    </w:p>
    <w:p w14:paraId="6EF4B487"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p>
    <w:p w14:paraId="6AF09111" w14:textId="77777777" w:rsidR="00A676B9" w:rsidRPr="00A676B9" w:rsidRDefault="00A676B9" w:rsidP="00A676B9">
      <w:pPr>
        <w:spacing w:after="0" w:line="240" w:lineRule="auto"/>
        <w:jc w:val="both"/>
        <w:rPr>
          <w:rFonts w:ascii="Arial" w:hAnsi="Arial" w:cs="Arial"/>
          <w:sz w:val="24"/>
          <w:szCs w:val="24"/>
        </w:rPr>
      </w:pPr>
      <w:r w:rsidRPr="00A676B9">
        <w:rPr>
          <w:rFonts w:ascii="Arial" w:hAnsi="Arial" w:cs="Arial"/>
          <w:sz w:val="24"/>
          <w:szCs w:val="24"/>
        </w:rPr>
        <w:t xml:space="preserve">Policymakers also are concerned about the potential onset of a deflation aggravated by plummeting energy prices, industrial overcapacity and sluggish demand. Systemic deflation is an economically toxic cycle in which investors and consumers hold off on fresh spending on the assumption prices will drop further in the future. This is cited as a major reason why Beijing will need to put more money into the system. </w:t>
      </w:r>
    </w:p>
    <w:p w14:paraId="29FA3928"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p>
    <w:p w14:paraId="7F6F704B"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Nevertheless, the International Monetary Fund's chief economist Olivier Blanchard said slower growth seen for 2015 reflects a welcome decision by the Chinese government to rebalance the economy away from a heavy reliance on investment and exports to a more consumption-based growth model.</w:t>
      </w:r>
    </w:p>
    <w:p w14:paraId="7133F95C" w14:textId="77777777" w:rsidR="00A676B9" w:rsidRPr="00A676B9" w:rsidRDefault="00A676B9" w:rsidP="00A676B9">
      <w:pPr>
        <w:spacing w:after="0" w:line="240" w:lineRule="auto"/>
        <w:jc w:val="right"/>
        <w:rPr>
          <w:rFonts w:ascii="Arial" w:hAnsi="Arial" w:cs="Arial"/>
          <w:sz w:val="24"/>
          <w:szCs w:val="24"/>
        </w:rPr>
      </w:pPr>
    </w:p>
    <w:p w14:paraId="71F23209" w14:textId="77777777" w:rsidR="00A676B9" w:rsidRPr="00A676B9" w:rsidRDefault="00A676B9" w:rsidP="00A676B9">
      <w:pPr>
        <w:spacing w:after="0" w:line="240" w:lineRule="auto"/>
        <w:jc w:val="right"/>
        <w:rPr>
          <w:rFonts w:ascii="Arial" w:hAnsi="Arial" w:cs="Arial"/>
          <w:sz w:val="24"/>
          <w:szCs w:val="24"/>
          <w:shd w:val="clear" w:color="auto" w:fill="FFFFFF"/>
        </w:rPr>
      </w:pPr>
      <w:r w:rsidRPr="00A676B9">
        <w:rPr>
          <w:rFonts w:ascii="Arial" w:hAnsi="Arial" w:cs="Arial"/>
          <w:sz w:val="24"/>
          <w:szCs w:val="24"/>
        </w:rPr>
        <w:t xml:space="preserve">Source: Kevin Yao and Pete Sweeney, </w:t>
      </w:r>
      <w:r w:rsidRPr="00A676B9">
        <w:rPr>
          <w:rFonts w:ascii="Arial" w:hAnsi="Arial" w:cs="Arial"/>
          <w:i/>
          <w:iCs/>
          <w:sz w:val="24"/>
          <w:szCs w:val="24"/>
        </w:rPr>
        <w:t>Reuters</w:t>
      </w:r>
      <w:r w:rsidRPr="00A676B9">
        <w:rPr>
          <w:rFonts w:ascii="Arial" w:hAnsi="Arial" w:cs="Arial"/>
          <w:sz w:val="24"/>
          <w:szCs w:val="24"/>
        </w:rPr>
        <w:t>, 20 Jan 2015</w:t>
      </w:r>
    </w:p>
    <w:p w14:paraId="73766799" w14:textId="77777777" w:rsidR="00A676B9" w:rsidRPr="00A676B9" w:rsidRDefault="00A676B9" w:rsidP="00A676B9">
      <w:pPr>
        <w:spacing w:after="0" w:line="240" w:lineRule="auto"/>
        <w:jc w:val="both"/>
        <w:rPr>
          <w:rFonts w:ascii="Arial" w:hAnsi="Arial" w:cs="Arial"/>
          <w:b/>
          <w:bCs/>
          <w:color w:val="222222"/>
          <w:sz w:val="24"/>
          <w:szCs w:val="24"/>
          <w:shd w:val="clear" w:color="auto" w:fill="FFFFFF"/>
        </w:rPr>
      </w:pPr>
    </w:p>
    <w:p w14:paraId="20713AD1" w14:textId="77777777" w:rsidR="00A676B9" w:rsidRPr="00A676B9" w:rsidRDefault="00A676B9" w:rsidP="00A676B9">
      <w:pPr>
        <w:spacing w:after="0" w:line="240" w:lineRule="auto"/>
        <w:jc w:val="both"/>
        <w:rPr>
          <w:rFonts w:ascii="Arial" w:hAnsi="Arial" w:cs="Arial"/>
          <w:b/>
          <w:bCs/>
          <w:color w:val="222222"/>
          <w:sz w:val="24"/>
          <w:szCs w:val="24"/>
          <w:shd w:val="clear" w:color="auto" w:fill="FFFFFF"/>
        </w:rPr>
      </w:pPr>
    </w:p>
    <w:p w14:paraId="0F159222" w14:textId="77777777" w:rsidR="00A676B9" w:rsidRDefault="00A676B9">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br w:type="page"/>
      </w:r>
    </w:p>
    <w:p w14:paraId="32EA1C7F" w14:textId="602BE5A3" w:rsidR="00A676B9" w:rsidRPr="00A676B9" w:rsidRDefault="00A676B9" w:rsidP="00A676B9">
      <w:pPr>
        <w:spacing w:after="0" w:line="240" w:lineRule="auto"/>
        <w:jc w:val="both"/>
        <w:rPr>
          <w:rFonts w:ascii="Arial" w:hAnsi="Arial" w:cs="Arial"/>
          <w:b/>
          <w:bCs/>
          <w:color w:val="222222"/>
          <w:sz w:val="24"/>
          <w:szCs w:val="24"/>
          <w:shd w:val="clear" w:color="auto" w:fill="FFFFFF"/>
        </w:rPr>
      </w:pPr>
      <w:r w:rsidRPr="00A676B9">
        <w:rPr>
          <w:rFonts w:ascii="Arial" w:hAnsi="Arial" w:cs="Arial"/>
          <w:b/>
          <w:bCs/>
          <w:color w:val="222222"/>
          <w:sz w:val="24"/>
          <w:szCs w:val="24"/>
          <w:shd w:val="clear" w:color="auto" w:fill="FFFFFF"/>
        </w:rPr>
        <w:lastRenderedPageBreak/>
        <w:t>Extract 6: Why China’s economy is slowing</w:t>
      </w:r>
    </w:p>
    <w:p w14:paraId="5A54134B" w14:textId="77777777" w:rsidR="00A676B9" w:rsidRPr="00A676B9" w:rsidRDefault="00A676B9" w:rsidP="00A676B9">
      <w:pPr>
        <w:spacing w:after="0" w:line="240" w:lineRule="auto"/>
        <w:jc w:val="both"/>
        <w:rPr>
          <w:rFonts w:ascii="Arial" w:hAnsi="Arial" w:cs="Arial"/>
          <w:b/>
          <w:bCs/>
          <w:color w:val="222222"/>
          <w:sz w:val="24"/>
          <w:szCs w:val="24"/>
          <w:shd w:val="clear" w:color="auto" w:fill="FFFFFF"/>
        </w:rPr>
      </w:pPr>
    </w:p>
    <w:p w14:paraId="6675184F"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Structurally, China’s economy faces headwinds. In the long run, growth is a function of changes in labour, capital and productivity. When all three increase, as they did in China for many years, growth rates are superlative. But they are all slowing now. China’s working-age population peaked in 2012. Investment also looks to have topped out. Finally, China’s technological gap with rich countries is narrower than in the past, implying that productivity growth will be lower, too.</w:t>
      </w:r>
    </w:p>
    <w:p w14:paraId="35327667"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6BF50FE1"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Another important development has been</w:t>
      </w:r>
      <w:r w:rsidRPr="00A676B9">
        <w:rPr>
          <w:rStyle w:val="apple-converted-space"/>
          <w:rFonts w:ascii="Arial" w:hAnsi="Arial" w:cs="Arial"/>
        </w:rPr>
        <w:t> </w:t>
      </w:r>
      <w:r w:rsidRPr="00A676B9">
        <w:rPr>
          <w:rFonts w:ascii="Arial" w:hAnsi="Arial" w:cs="Arial"/>
        </w:rPr>
        <w:t xml:space="preserve">its credit binge. Total debt, including government, household and corporate, has climbed to about 250% of GDP, up 100 percentage points since 2008. This debt allowed China to power its economy through the global financial crisis but also saddled it with a heavy repayment burden. Most worrying, much of the credit flowed to property developers. China’s inventory of unsold homes sits at a record high. The real-estate sector, which previously accounted for some 15% of economic growth, could face outright contraction. From this vantage point, the abruptness of China’s current slowdown looks more cyclical than structural. </w:t>
      </w:r>
    </w:p>
    <w:p w14:paraId="336F0900"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670C905E" w14:textId="6DF5374F"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Whereas previous leaders propped up growth whenever it slowed, Xi Jinping, China’s president since 2013, has instead spread the gospel of the “new normal”, by which he means</w:t>
      </w:r>
      <w:r w:rsidRPr="00A676B9">
        <w:rPr>
          <w:rStyle w:val="apple-converted-space"/>
          <w:rFonts w:ascii="Arial" w:hAnsi="Arial" w:cs="Arial"/>
        </w:rPr>
        <w:t> </w:t>
      </w:r>
      <w:r w:rsidRPr="00A676B9">
        <w:rPr>
          <w:rFonts w:ascii="Arial" w:hAnsi="Arial" w:cs="Arial"/>
        </w:rPr>
        <w:t xml:space="preserve">less emphasis on growth and faster structural reform. As a result, the central bank has been hesitant to ease monetary policy. Changes to fiscal rules have also made it harder for local governments to spend money. </w:t>
      </w:r>
    </w:p>
    <w:p w14:paraId="680B423C" w14:textId="77777777" w:rsidR="00A676B9" w:rsidRPr="00A676B9" w:rsidRDefault="00A676B9" w:rsidP="00A676B9">
      <w:pPr>
        <w:spacing w:after="0" w:line="240" w:lineRule="auto"/>
        <w:ind w:right="-46"/>
        <w:jc w:val="right"/>
        <w:rPr>
          <w:rFonts w:ascii="Arial" w:hAnsi="Arial" w:cs="Arial"/>
          <w:sz w:val="24"/>
          <w:szCs w:val="24"/>
        </w:rPr>
      </w:pPr>
      <w:r w:rsidRPr="00A676B9">
        <w:rPr>
          <w:rFonts w:ascii="Arial" w:hAnsi="Arial" w:cs="Arial"/>
          <w:sz w:val="24"/>
          <w:szCs w:val="24"/>
        </w:rPr>
        <w:t xml:space="preserve">Source: </w:t>
      </w:r>
      <w:r w:rsidRPr="00A676B9">
        <w:rPr>
          <w:rFonts w:ascii="Arial" w:hAnsi="Arial" w:cs="Arial"/>
          <w:i/>
          <w:iCs/>
          <w:sz w:val="24"/>
          <w:szCs w:val="24"/>
        </w:rPr>
        <w:t>The Economist</w:t>
      </w:r>
      <w:r w:rsidRPr="00A676B9">
        <w:rPr>
          <w:rFonts w:ascii="Arial" w:hAnsi="Arial" w:cs="Arial"/>
          <w:sz w:val="24"/>
          <w:szCs w:val="24"/>
        </w:rPr>
        <w:t>, 11 Mar 2015</w:t>
      </w:r>
    </w:p>
    <w:p w14:paraId="12F8DAB5" w14:textId="77777777" w:rsidR="00A676B9" w:rsidRPr="00A676B9" w:rsidRDefault="00A676B9" w:rsidP="00A676B9">
      <w:pPr>
        <w:spacing w:after="0" w:line="240" w:lineRule="auto"/>
        <w:ind w:right="394"/>
        <w:rPr>
          <w:rFonts w:ascii="Arial" w:hAnsi="Arial" w:cs="Arial"/>
          <w:sz w:val="24"/>
          <w:szCs w:val="24"/>
        </w:rPr>
      </w:pPr>
    </w:p>
    <w:p w14:paraId="6FEAFC3C" w14:textId="7357B38E" w:rsidR="00A676B9" w:rsidRDefault="00A676B9" w:rsidP="00A676B9">
      <w:pPr>
        <w:spacing w:after="0" w:line="240" w:lineRule="auto"/>
        <w:jc w:val="both"/>
        <w:rPr>
          <w:rFonts w:ascii="Arial" w:hAnsi="Arial" w:cs="Arial"/>
          <w:b/>
          <w:bCs/>
          <w:sz w:val="24"/>
          <w:szCs w:val="24"/>
        </w:rPr>
      </w:pPr>
      <w:r w:rsidRPr="00A676B9">
        <w:rPr>
          <w:rFonts w:ascii="Arial" w:hAnsi="Arial" w:cs="Arial"/>
          <w:b/>
          <w:bCs/>
          <w:sz w:val="24"/>
          <w:szCs w:val="24"/>
        </w:rPr>
        <w:t>Extract 7:  Fears mount that UK’s plan to rebalance the economy is failing</w:t>
      </w:r>
    </w:p>
    <w:p w14:paraId="0690311F" w14:textId="77777777" w:rsidR="00A676B9" w:rsidRPr="00A676B9" w:rsidRDefault="00A676B9" w:rsidP="00A676B9">
      <w:pPr>
        <w:spacing w:after="0" w:line="240" w:lineRule="auto"/>
        <w:jc w:val="both"/>
        <w:rPr>
          <w:rFonts w:ascii="Arial" w:hAnsi="Arial" w:cs="Arial"/>
          <w:b/>
          <w:bCs/>
          <w:sz w:val="24"/>
          <w:szCs w:val="24"/>
        </w:rPr>
      </w:pPr>
    </w:p>
    <w:p w14:paraId="24DB89A0" w14:textId="7EAA8A6F" w:rsidR="00A676B9" w:rsidRDefault="00A676B9" w:rsidP="00A676B9">
      <w:pPr>
        <w:spacing w:after="0" w:line="240" w:lineRule="auto"/>
        <w:jc w:val="both"/>
        <w:rPr>
          <w:rFonts w:ascii="Arial" w:hAnsi="Arial" w:cs="Arial"/>
          <w:sz w:val="24"/>
          <w:szCs w:val="24"/>
        </w:rPr>
      </w:pPr>
      <w:r w:rsidRPr="00A676B9">
        <w:rPr>
          <w:rFonts w:ascii="Arial" w:hAnsi="Arial" w:cs="Arial"/>
          <w:sz w:val="24"/>
          <w:szCs w:val="24"/>
        </w:rPr>
        <w:t>Britain’s recovery remained on track in the third quarter but fresh figures revealed growth was heavily reliant on the consumer, leaving the government’s much hoped-for rebalancing of the economy elusive. Companies have become increasingly concerned about the economic outlook and falling business investment once again leaves the economic upturn in the hands of the consumer.</w:t>
      </w:r>
    </w:p>
    <w:p w14:paraId="6F8DB889" w14:textId="77777777" w:rsidR="00A676B9" w:rsidRPr="00A676B9" w:rsidRDefault="00A676B9" w:rsidP="00A676B9">
      <w:pPr>
        <w:spacing w:after="0" w:line="240" w:lineRule="auto"/>
        <w:jc w:val="both"/>
        <w:rPr>
          <w:rFonts w:ascii="Arial" w:hAnsi="Arial" w:cs="Arial"/>
          <w:b/>
          <w:bCs/>
          <w:sz w:val="24"/>
          <w:szCs w:val="24"/>
        </w:rPr>
      </w:pPr>
    </w:p>
    <w:p w14:paraId="153B9479" w14:textId="4993D5C1" w:rsid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Exports fell by 0.4%, while imports increased by 1.4%, worsening Britain’s trade position. The UK’s trade deficit with the rest of the world widened to £11.2bn in the third quarter from £8.9bn in the second. Business investment, which the government is banking on to drive a sustainable recovery, actually fell by 0.7% or £300m compared with the second quarter.  On the other hand, household spending, increased by 0.8% over the third quarter, extending the run of growth to 13 consecutive quarters. Services sector output was revised up to 0.8% from an initial estimate of 0.7%, reinforcing the picture of a UK recovery reliant on the consumer.</w:t>
      </w:r>
    </w:p>
    <w:p w14:paraId="477C17D1"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p>
    <w:p w14:paraId="29BB952A" w14:textId="77777777" w:rsidR="00A676B9" w:rsidRPr="00A676B9" w:rsidRDefault="00A676B9" w:rsidP="00A676B9">
      <w:pPr>
        <w:pStyle w:val="NormalWeb"/>
        <w:shd w:val="clear" w:color="auto" w:fill="FFFFFF"/>
        <w:spacing w:before="0" w:beforeAutospacing="0" w:after="0" w:afterAutospacing="0"/>
        <w:jc w:val="both"/>
        <w:rPr>
          <w:rFonts w:ascii="Arial" w:hAnsi="Arial" w:cs="Arial"/>
        </w:rPr>
      </w:pPr>
      <w:r w:rsidRPr="00A676B9">
        <w:rPr>
          <w:rFonts w:ascii="Arial" w:hAnsi="Arial" w:cs="Arial"/>
        </w:rPr>
        <w:t>A spokesman for the Treasury repeated its persistent line that growth in the third quarter was a sign the government’s long-term economic plan is working, and that the UK economy was under threat from factors abroad. “The UK is not immune to weakness in the euro area and instability in global markets, so we face a critical moment for our economy. We need to carry on working through our economic plan that is securing a resilient economy and a better future.”</w:t>
      </w:r>
    </w:p>
    <w:p w14:paraId="1C56305F" w14:textId="77777777" w:rsidR="00A676B9" w:rsidRPr="00A676B9" w:rsidRDefault="00A676B9" w:rsidP="00A676B9">
      <w:pPr>
        <w:spacing w:after="0" w:line="240" w:lineRule="auto"/>
        <w:jc w:val="both"/>
        <w:rPr>
          <w:rFonts w:ascii="Arial" w:hAnsi="Arial" w:cs="Arial"/>
          <w:b/>
          <w:bCs/>
          <w:sz w:val="24"/>
          <w:szCs w:val="24"/>
        </w:rPr>
      </w:pPr>
    </w:p>
    <w:p w14:paraId="00C8474A" w14:textId="7144EF23" w:rsidR="00A676B9" w:rsidRPr="00A676B9" w:rsidRDefault="00A676B9" w:rsidP="00A676B9">
      <w:pPr>
        <w:spacing w:after="0" w:line="240" w:lineRule="auto"/>
        <w:jc w:val="right"/>
        <w:rPr>
          <w:rFonts w:ascii="Arial" w:hAnsi="Arial" w:cs="Arial"/>
          <w:sz w:val="24"/>
          <w:szCs w:val="24"/>
        </w:rPr>
      </w:pPr>
      <w:r w:rsidRPr="00A676B9">
        <w:rPr>
          <w:rFonts w:ascii="Arial" w:hAnsi="Arial" w:cs="Arial"/>
          <w:sz w:val="24"/>
          <w:szCs w:val="24"/>
        </w:rPr>
        <w:t xml:space="preserve">Source: Angela Monaghan, </w:t>
      </w:r>
      <w:r w:rsidRPr="00A676B9">
        <w:rPr>
          <w:rFonts w:ascii="Arial" w:hAnsi="Arial" w:cs="Arial"/>
          <w:i/>
          <w:iCs/>
          <w:sz w:val="24"/>
          <w:szCs w:val="24"/>
        </w:rPr>
        <w:t>The Guardian</w:t>
      </w:r>
      <w:r w:rsidRPr="00A676B9">
        <w:rPr>
          <w:rFonts w:ascii="Arial" w:hAnsi="Arial" w:cs="Arial"/>
          <w:sz w:val="24"/>
          <w:szCs w:val="24"/>
        </w:rPr>
        <w:t>, 26 November 2014</w:t>
      </w:r>
    </w:p>
    <w:p w14:paraId="1E639F1A" w14:textId="7C9711B0" w:rsidR="00A676B9" w:rsidRDefault="00A676B9" w:rsidP="00A676B9">
      <w:pPr>
        <w:spacing w:after="0" w:line="240" w:lineRule="auto"/>
        <w:rPr>
          <w:rFonts w:ascii="Arial" w:hAnsi="Arial" w:cs="Arial"/>
          <w:b/>
          <w:bCs/>
          <w:sz w:val="24"/>
          <w:szCs w:val="24"/>
        </w:rPr>
      </w:pPr>
      <w:r w:rsidRPr="00A676B9">
        <w:rPr>
          <w:rFonts w:ascii="Arial" w:hAnsi="Arial" w:cs="Arial"/>
          <w:b/>
          <w:bCs/>
          <w:sz w:val="24"/>
          <w:szCs w:val="24"/>
        </w:rPr>
        <w:t xml:space="preserve">Extract 8:  Deflation in the Euro zone is all too close </w:t>
      </w:r>
    </w:p>
    <w:p w14:paraId="4A8E966E" w14:textId="77777777" w:rsidR="00A676B9" w:rsidRPr="00A676B9" w:rsidRDefault="00A676B9" w:rsidP="00A676B9">
      <w:pPr>
        <w:spacing w:after="0" w:line="240" w:lineRule="auto"/>
        <w:rPr>
          <w:rFonts w:ascii="Arial" w:hAnsi="Arial" w:cs="Arial"/>
          <w:b/>
          <w:bCs/>
          <w:sz w:val="24"/>
          <w:szCs w:val="24"/>
        </w:rPr>
      </w:pPr>
    </w:p>
    <w:p w14:paraId="6EDB6B48"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The euro area is on the verge of tipping into its third recession in six years. The zone’s overall inflation rate has slipped to 0.3% and may well go into outright decline next year. A region that makes up almost a fifth of world output is marching towards stagnation and deflation.</w:t>
      </w:r>
    </w:p>
    <w:p w14:paraId="72AF8F65"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541CFD04"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 xml:space="preserve">Some price falls are welcome. Tumbling oil prices, in particular, have given consumers’ incomes a boost. But slowing prices and stagnant wages owe more to weak demand in the economy and roughly 45 million workers are jobless in the rich OECD countries. Worse, short-term interest rates are close to zero in many economies, so central banks cannot cut them to boost spending. </w:t>
      </w:r>
    </w:p>
    <w:p w14:paraId="77236EDF"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25615AD9" w14:textId="77777777" w:rsidR="00A676B9" w:rsidRPr="00A676B9" w:rsidRDefault="00A676B9" w:rsidP="00A676B9">
      <w:pPr>
        <w:pStyle w:val="NormalWeb"/>
        <w:spacing w:before="0" w:beforeAutospacing="0" w:after="0" w:afterAutospacing="0"/>
        <w:jc w:val="both"/>
        <w:textAlignment w:val="baseline"/>
        <w:rPr>
          <w:rFonts w:ascii="Arial" w:hAnsi="Arial" w:cs="Arial"/>
        </w:rPr>
      </w:pPr>
      <w:r w:rsidRPr="00A676B9">
        <w:rPr>
          <w:rFonts w:ascii="Arial" w:hAnsi="Arial" w:cs="Arial"/>
        </w:rPr>
        <w:t xml:space="preserve">If Europe is to stop its economy getting worse, it will have to stop its self-destructive behaviour. France and Italy should be allowed to slow the pace of their fiscal cuts; in return, those countries should accelerate structural reforms. Reducing the fiscal deficits has been difficult to achieve because reductions in government spending and increases in taxes depress economic activity. Lower economic activity causes increased transfer payments and reduced tax revenue, offsetting the original fiscal contraction. A cheapening euro would be an important boost for eurozone countries such as Spain, Italy and France that have very large fiscal deficits. Although the lower euro would not change the relative prices among the eurozone countries, it would have a powerful effect because nearly half the trade of the eurozone countries is with countries outside the eurozone.  </w:t>
      </w:r>
    </w:p>
    <w:p w14:paraId="22E6F7CC" w14:textId="77777777" w:rsidR="00A676B9" w:rsidRPr="00A676B9" w:rsidRDefault="00A676B9" w:rsidP="00A676B9">
      <w:pPr>
        <w:pStyle w:val="NormalWeb"/>
        <w:spacing w:before="0" w:beforeAutospacing="0" w:after="0" w:afterAutospacing="0"/>
        <w:jc w:val="both"/>
        <w:textAlignment w:val="baseline"/>
        <w:rPr>
          <w:rFonts w:ascii="Arial" w:hAnsi="Arial" w:cs="Arial"/>
        </w:rPr>
      </w:pPr>
    </w:p>
    <w:p w14:paraId="11BD1318" w14:textId="77777777" w:rsidR="00A676B9" w:rsidRPr="00A676B9" w:rsidRDefault="00A676B9" w:rsidP="00A676B9">
      <w:pPr>
        <w:spacing w:after="0" w:line="240" w:lineRule="auto"/>
        <w:ind w:right="110"/>
        <w:jc w:val="right"/>
        <w:rPr>
          <w:rFonts w:ascii="Arial" w:hAnsi="Arial" w:cs="Arial"/>
          <w:sz w:val="24"/>
          <w:szCs w:val="24"/>
        </w:rPr>
      </w:pPr>
      <w:r w:rsidRPr="00A676B9">
        <w:rPr>
          <w:rFonts w:ascii="Arial" w:hAnsi="Arial" w:cs="Arial"/>
          <w:sz w:val="24"/>
          <w:szCs w:val="24"/>
        </w:rPr>
        <w:t xml:space="preserve">  Source: </w:t>
      </w:r>
      <w:r w:rsidRPr="00A676B9">
        <w:rPr>
          <w:rFonts w:ascii="Arial" w:hAnsi="Arial" w:cs="Arial"/>
          <w:i/>
          <w:iCs/>
          <w:sz w:val="24"/>
          <w:szCs w:val="24"/>
        </w:rPr>
        <w:t>The Economist</w:t>
      </w:r>
      <w:r w:rsidRPr="00A676B9">
        <w:rPr>
          <w:rFonts w:ascii="Arial" w:hAnsi="Arial" w:cs="Arial"/>
          <w:sz w:val="24"/>
          <w:szCs w:val="24"/>
        </w:rPr>
        <w:t>, 25</w:t>
      </w:r>
      <w:r w:rsidRPr="00A676B9">
        <w:rPr>
          <w:rFonts w:ascii="Arial" w:hAnsi="Arial" w:cs="Arial"/>
          <w:sz w:val="24"/>
          <w:szCs w:val="24"/>
          <w:vertAlign w:val="superscript"/>
        </w:rPr>
        <w:t>th</w:t>
      </w:r>
      <w:r w:rsidRPr="00A676B9">
        <w:rPr>
          <w:rFonts w:ascii="Arial" w:hAnsi="Arial" w:cs="Arial"/>
          <w:sz w:val="24"/>
          <w:szCs w:val="24"/>
        </w:rPr>
        <w:t xml:space="preserve"> October 2014</w:t>
      </w:r>
    </w:p>
    <w:p w14:paraId="1D924C39" w14:textId="77777777" w:rsidR="00A676B9" w:rsidRPr="00A676B9" w:rsidRDefault="00A676B9" w:rsidP="00A676B9">
      <w:pPr>
        <w:spacing w:after="0" w:line="240" w:lineRule="auto"/>
        <w:jc w:val="center"/>
        <w:rPr>
          <w:rFonts w:ascii="Arial" w:hAnsi="Arial" w:cs="Arial"/>
          <w:b/>
          <w:bCs/>
          <w:sz w:val="24"/>
          <w:szCs w:val="24"/>
        </w:rPr>
      </w:pPr>
    </w:p>
    <w:p w14:paraId="1082EBA5" w14:textId="77777777" w:rsidR="00A676B9" w:rsidRPr="00A676B9" w:rsidRDefault="00A676B9" w:rsidP="00A676B9">
      <w:pPr>
        <w:spacing w:after="0" w:line="240" w:lineRule="auto"/>
        <w:jc w:val="center"/>
        <w:rPr>
          <w:rFonts w:ascii="Arial" w:hAnsi="Arial" w:cs="Arial"/>
          <w:b/>
          <w:bCs/>
          <w:sz w:val="24"/>
          <w:szCs w:val="24"/>
        </w:rPr>
      </w:pPr>
      <w:r w:rsidRPr="00A676B9">
        <w:rPr>
          <w:rFonts w:ascii="Arial" w:hAnsi="Arial" w:cs="Arial"/>
          <w:b/>
          <w:bCs/>
          <w:sz w:val="24"/>
          <w:szCs w:val="24"/>
        </w:rPr>
        <w:t xml:space="preserve">Table 2: GDP growth rates </w:t>
      </w:r>
      <w:r w:rsidRPr="00A676B9">
        <w:rPr>
          <w:rFonts w:ascii="Arial" w:hAnsi="Arial" w:cs="Arial"/>
          <w:sz w:val="24"/>
          <w:szCs w:val="24"/>
        </w:rPr>
        <w:t>(Annual % change at constant prices in local currency)</w:t>
      </w:r>
    </w:p>
    <w:tbl>
      <w:tblPr>
        <w:tblStyle w:val="TableGrid"/>
        <w:tblW w:w="0" w:type="auto"/>
        <w:tblInd w:w="419" w:type="dxa"/>
        <w:tblLook w:val="04A0" w:firstRow="1" w:lastRow="0" w:firstColumn="1" w:lastColumn="0" w:noHBand="0" w:noVBand="1"/>
      </w:tblPr>
      <w:tblGrid>
        <w:gridCol w:w="1439"/>
        <w:gridCol w:w="1430"/>
        <w:gridCol w:w="1432"/>
        <w:gridCol w:w="1432"/>
        <w:gridCol w:w="1432"/>
        <w:gridCol w:w="1432"/>
      </w:tblGrid>
      <w:tr w:rsidR="00A676B9" w:rsidRPr="00A676B9" w14:paraId="7757B16F" w14:textId="77777777" w:rsidTr="00E47323">
        <w:tc>
          <w:tcPr>
            <w:tcW w:w="1502" w:type="dxa"/>
          </w:tcPr>
          <w:p w14:paraId="0996D09E" w14:textId="77777777" w:rsidR="00A676B9" w:rsidRPr="00A676B9" w:rsidRDefault="00A676B9" w:rsidP="00A676B9">
            <w:pPr>
              <w:jc w:val="center"/>
              <w:rPr>
                <w:rFonts w:ascii="Arial" w:hAnsi="Arial" w:cs="Arial"/>
                <w:sz w:val="24"/>
                <w:szCs w:val="24"/>
              </w:rPr>
            </w:pPr>
          </w:p>
        </w:tc>
        <w:tc>
          <w:tcPr>
            <w:tcW w:w="1502" w:type="dxa"/>
          </w:tcPr>
          <w:p w14:paraId="79CDEF4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2010</w:t>
            </w:r>
          </w:p>
        </w:tc>
        <w:tc>
          <w:tcPr>
            <w:tcW w:w="1503" w:type="dxa"/>
          </w:tcPr>
          <w:p w14:paraId="6C6235C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2011</w:t>
            </w:r>
          </w:p>
        </w:tc>
        <w:tc>
          <w:tcPr>
            <w:tcW w:w="1503" w:type="dxa"/>
          </w:tcPr>
          <w:p w14:paraId="0EB55D2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2012</w:t>
            </w:r>
          </w:p>
        </w:tc>
        <w:tc>
          <w:tcPr>
            <w:tcW w:w="1503" w:type="dxa"/>
          </w:tcPr>
          <w:p w14:paraId="5EC23BA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2013</w:t>
            </w:r>
          </w:p>
        </w:tc>
        <w:tc>
          <w:tcPr>
            <w:tcW w:w="1503" w:type="dxa"/>
          </w:tcPr>
          <w:p w14:paraId="5C77B49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2014</w:t>
            </w:r>
          </w:p>
        </w:tc>
      </w:tr>
      <w:tr w:rsidR="00A676B9" w:rsidRPr="00A676B9" w14:paraId="77DCAA6B" w14:textId="77777777" w:rsidTr="00E47323">
        <w:tc>
          <w:tcPr>
            <w:tcW w:w="1502" w:type="dxa"/>
          </w:tcPr>
          <w:p w14:paraId="7A3EF27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China</w:t>
            </w:r>
          </w:p>
        </w:tc>
        <w:tc>
          <w:tcPr>
            <w:tcW w:w="1502" w:type="dxa"/>
          </w:tcPr>
          <w:p w14:paraId="5BE7FAD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10.6</w:t>
            </w:r>
          </w:p>
        </w:tc>
        <w:tc>
          <w:tcPr>
            <w:tcW w:w="1503" w:type="dxa"/>
          </w:tcPr>
          <w:p w14:paraId="6D8E2A6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9.5</w:t>
            </w:r>
          </w:p>
        </w:tc>
        <w:tc>
          <w:tcPr>
            <w:tcW w:w="1503" w:type="dxa"/>
          </w:tcPr>
          <w:p w14:paraId="01FE4CCD"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7.8</w:t>
            </w:r>
          </w:p>
        </w:tc>
        <w:tc>
          <w:tcPr>
            <w:tcW w:w="1503" w:type="dxa"/>
          </w:tcPr>
          <w:p w14:paraId="13D506C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7.7</w:t>
            </w:r>
          </w:p>
        </w:tc>
        <w:tc>
          <w:tcPr>
            <w:tcW w:w="1503" w:type="dxa"/>
          </w:tcPr>
          <w:p w14:paraId="6E70C90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7.4</w:t>
            </w:r>
          </w:p>
        </w:tc>
      </w:tr>
      <w:tr w:rsidR="00A676B9" w:rsidRPr="00A676B9" w14:paraId="51025905" w14:textId="77777777" w:rsidTr="00E47323">
        <w:tc>
          <w:tcPr>
            <w:tcW w:w="1502" w:type="dxa"/>
          </w:tcPr>
          <w:p w14:paraId="6782B06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UK</w:t>
            </w:r>
          </w:p>
        </w:tc>
        <w:tc>
          <w:tcPr>
            <w:tcW w:w="1502" w:type="dxa"/>
          </w:tcPr>
          <w:p w14:paraId="1BB617B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c>
          <w:tcPr>
            <w:tcW w:w="1503" w:type="dxa"/>
          </w:tcPr>
          <w:p w14:paraId="33B7A49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w:t>
            </w:r>
          </w:p>
        </w:tc>
        <w:tc>
          <w:tcPr>
            <w:tcW w:w="1503" w:type="dxa"/>
          </w:tcPr>
          <w:p w14:paraId="2731ECAE"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1.2</w:t>
            </w:r>
          </w:p>
        </w:tc>
        <w:tc>
          <w:tcPr>
            <w:tcW w:w="1503" w:type="dxa"/>
          </w:tcPr>
          <w:p w14:paraId="41518F0D"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2.2</w:t>
            </w:r>
          </w:p>
        </w:tc>
        <w:tc>
          <w:tcPr>
            <w:tcW w:w="1503" w:type="dxa"/>
          </w:tcPr>
          <w:p w14:paraId="70E9B64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2.9</w:t>
            </w:r>
          </w:p>
        </w:tc>
      </w:tr>
      <w:tr w:rsidR="00A676B9" w:rsidRPr="00A676B9" w14:paraId="5CE7EF5D" w14:textId="77777777" w:rsidTr="00E47323">
        <w:tc>
          <w:tcPr>
            <w:tcW w:w="1502" w:type="dxa"/>
          </w:tcPr>
          <w:p w14:paraId="621DFA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Euro Area</w:t>
            </w:r>
          </w:p>
        </w:tc>
        <w:tc>
          <w:tcPr>
            <w:tcW w:w="1502" w:type="dxa"/>
          </w:tcPr>
          <w:p w14:paraId="3325600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2.1</w:t>
            </w:r>
          </w:p>
        </w:tc>
        <w:tc>
          <w:tcPr>
            <w:tcW w:w="1503" w:type="dxa"/>
          </w:tcPr>
          <w:p w14:paraId="3BE1254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1.6</w:t>
            </w:r>
          </w:p>
        </w:tc>
        <w:tc>
          <w:tcPr>
            <w:tcW w:w="1503" w:type="dxa"/>
          </w:tcPr>
          <w:p w14:paraId="4760455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-0.9</w:t>
            </w:r>
          </w:p>
        </w:tc>
        <w:tc>
          <w:tcPr>
            <w:tcW w:w="1503" w:type="dxa"/>
          </w:tcPr>
          <w:p w14:paraId="535058E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-0.3</w:t>
            </w:r>
          </w:p>
        </w:tc>
        <w:tc>
          <w:tcPr>
            <w:tcW w:w="1503" w:type="dxa"/>
          </w:tcPr>
          <w:p w14:paraId="4C6F179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0.9</w:t>
            </w:r>
          </w:p>
        </w:tc>
      </w:tr>
    </w:tbl>
    <w:p w14:paraId="48D6ACE2" w14:textId="77777777" w:rsidR="00A676B9" w:rsidRPr="00A676B9" w:rsidRDefault="00A676B9" w:rsidP="00A676B9">
      <w:pPr>
        <w:spacing w:after="0" w:line="240" w:lineRule="auto"/>
        <w:jc w:val="center"/>
        <w:rPr>
          <w:rFonts w:ascii="Arial" w:hAnsi="Arial" w:cs="Arial"/>
          <w:b/>
          <w:bCs/>
          <w:sz w:val="24"/>
          <w:szCs w:val="24"/>
        </w:rPr>
      </w:pPr>
    </w:p>
    <w:p w14:paraId="6EB33BBB" w14:textId="77777777" w:rsidR="00A676B9" w:rsidRPr="00A676B9" w:rsidRDefault="00A676B9" w:rsidP="00A676B9">
      <w:pPr>
        <w:spacing w:after="0" w:line="240" w:lineRule="auto"/>
        <w:jc w:val="center"/>
        <w:rPr>
          <w:rFonts w:ascii="Arial" w:hAnsi="Arial" w:cs="Arial"/>
          <w:b/>
          <w:bCs/>
          <w:sz w:val="24"/>
          <w:szCs w:val="24"/>
        </w:rPr>
      </w:pPr>
      <w:r w:rsidRPr="00A676B9">
        <w:rPr>
          <w:rFonts w:ascii="Arial" w:hAnsi="Arial" w:cs="Arial"/>
          <w:b/>
          <w:bCs/>
          <w:sz w:val="24"/>
          <w:szCs w:val="24"/>
        </w:rPr>
        <w:t xml:space="preserve">Table 3: Inflation rates </w:t>
      </w:r>
      <w:r w:rsidRPr="00A676B9">
        <w:rPr>
          <w:rFonts w:ascii="Arial" w:hAnsi="Arial" w:cs="Arial"/>
          <w:sz w:val="24"/>
          <w:szCs w:val="24"/>
        </w:rPr>
        <w:t>(Annual % change in consumer price index)</w:t>
      </w:r>
    </w:p>
    <w:tbl>
      <w:tblPr>
        <w:tblStyle w:val="TableGrid"/>
        <w:tblW w:w="0" w:type="auto"/>
        <w:tblInd w:w="419" w:type="dxa"/>
        <w:tblLook w:val="04A0" w:firstRow="1" w:lastRow="0" w:firstColumn="1" w:lastColumn="0" w:noHBand="0" w:noVBand="1"/>
      </w:tblPr>
      <w:tblGrid>
        <w:gridCol w:w="1439"/>
        <w:gridCol w:w="1430"/>
        <w:gridCol w:w="1432"/>
        <w:gridCol w:w="1432"/>
        <w:gridCol w:w="1432"/>
        <w:gridCol w:w="1432"/>
      </w:tblGrid>
      <w:tr w:rsidR="00A676B9" w:rsidRPr="00A676B9" w14:paraId="3F834024" w14:textId="77777777" w:rsidTr="00E47323">
        <w:tc>
          <w:tcPr>
            <w:tcW w:w="1502" w:type="dxa"/>
          </w:tcPr>
          <w:p w14:paraId="6D0768C5" w14:textId="77777777" w:rsidR="00A676B9" w:rsidRPr="00A676B9" w:rsidRDefault="00A676B9" w:rsidP="00A676B9">
            <w:pPr>
              <w:jc w:val="center"/>
              <w:rPr>
                <w:rFonts w:ascii="Arial" w:hAnsi="Arial" w:cs="Arial"/>
                <w:sz w:val="24"/>
                <w:szCs w:val="24"/>
              </w:rPr>
            </w:pPr>
          </w:p>
        </w:tc>
        <w:tc>
          <w:tcPr>
            <w:tcW w:w="1502" w:type="dxa"/>
          </w:tcPr>
          <w:p w14:paraId="504B46E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2010</w:t>
            </w:r>
          </w:p>
        </w:tc>
        <w:tc>
          <w:tcPr>
            <w:tcW w:w="1503" w:type="dxa"/>
          </w:tcPr>
          <w:p w14:paraId="72EADC3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2011</w:t>
            </w:r>
          </w:p>
        </w:tc>
        <w:tc>
          <w:tcPr>
            <w:tcW w:w="1503" w:type="dxa"/>
          </w:tcPr>
          <w:p w14:paraId="370EDF7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2012</w:t>
            </w:r>
          </w:p>
        </w:tc>
        <w:tc>
          <w:tcPr>
            <w:tcW w:w="1503" w:type="dxa"/>
          </w:tcPr>
          <w:p w14:paraId="50A03FD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2013</w:t>
            </w:r>
          </w:p>
        </w:tc>
        <w:tc>
          <w:tcPr>
            <w:tcW w:w="1503" w:type="dxa"/>
          </w:tcPr>
          <w:p w14:paraId="2EBDB98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2014</w:t>
            </w:r>
          </w:p>
        </w:tc>
      </w:tr>
      <w:tr w:rsidR="00A676B9" w:rsidRPr="00A676B9" w14:paraId="06D294D6" w14:textId="77777777" w:rsidTr="00E47323">
        <w:tc>
          <w:tcPr>
            <w:tcW w:w="1502" w:type="dxa"/>
          </w:tcPr>
          <w:p w14:paraId="2940859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China</w:t>
            </w:r>
          </w:p>
        </w:tc>
        <w:tc>
          <w:tcPr>
            <w:tcW w:w="1502" w:type="dxa"/>
          </w:tcPr>
          <w:p w14:paraId="2B51A38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3.3</w:t>
            </w:r>
          </w:p>
        </w:tc>
        <w:tc>
          <w:tcPr>
            <w:tcW w:w="1503" w:type="dxa"/>
          </w:tcPr>
          <w:p w14:paraId="75FB82A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5.4</w:t>
            </w:r>
          </w:p>
        </w:tc>
        <w:tc>
          <w:tcPr>
            <w:tcW w:w="1503" w:type="dxa"/>
          </w:tcPr>
          <w:p w14:paraId="4CD0303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c>
          <w:tcPr>
            <w:tcW w:w="1503" w:type="dxa"/>
          </w:tcPr>
          <w:p w14:paraId="69D7597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c>
          <w:tcPr>
            <w:tcW w:w="1503" w:type="dxa"/>
          </w:tcPr>
          <w:p w14:paraId="05902B1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w:t>
            </w:r>
          </w:p>
        </w:tc>
      </w:tr>
      <w:tr w:rsidR="00A676B9" w:rsidRPr="00A676B9" w14:paraId="1E63F028" w14:textId="77777777" w:rsidTr="00E47323">
        <w:tc>
          <w:tcPr>
            <w:tcW w:w="1502" w:type="dxa"/>
          </w:tcPr>
          <w:p w14:paraId="57A48A0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UK</w:t>
            </w:r>
          </w:p>
        </w:tc>
        <w:tc>
          <w:tcPr>
            <w:tcW w:w="1502" w:type="dxa"/>
          </w:tcPr>
          <w:p w14:paraId="5E50999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3.3</w:t>
            </w:r>
          </w:p>
        </w:tc>
        <w:tc>
          <w:tcPr>
            <w:tcW w:w="1503" w:type="dxa"/>
          </w:tcPr>
          <w:p w14:paraId="55212E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4.5</w:t>
            </w:r>
          </w:p>
        </w:tc>
        <w:tc>
          <w:tcPr>
            <w:tcW w:w="1503" w:type="dxa"/>
          </w:tcPr>
          <w:p w14:paraId="75071BEC"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2.8</w:t>
            </w:r>
          </w:p>
        </w:tc>
        <w:tc>
          <w:tcPr>
            <w:tcW w:w="1503" w:type="dxa"/>
          </w:tcPr>
          <w:p w14:paraId="2CC71E7A"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c>
          <w:tcPr>
            <w:tcW w:w="1503" w:type="dxa"/>
          </w:tcPr>
          <w:p w14:paraId="6DE8FDF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r>
      <w:tr w:rsidR="00A676B9" w:rsidRPr="00A676B9" w14:paraId="0F19E8F5" w14:textId="77777777" w:rsidTr="00E47323">
        <w:tc>
          <w:tcPr>
            <w:tcW w:w="1502" w:type="dxa"/>
          </w:tcPr>
          <w:p w14:paraId="7B00F91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Euro Area</w:t>
            </w:r>
          </w:p>
        </w:tc>
        <w:tc>
          <w:tcPr>
            <w:tcW w:w="1502" w:type="dxa"/>
          </w:tcPr>
          <w:p w14:paraId="6F60909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c>
          <w:tcPr>
            <w:tcW w:w="1503" w:type="dxa"/>
          </w:tcPr>
          <w:p w14:paraId="6696E0E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3.3</w:t>
            </w:r>
          </w:p>
        </w:tc>
        <w:tc>
          <w:tcPr>
            <w:tcW w:w="1503" w:type="dxa"/>
          </w:tcPr>
          <w:p w14:paraId="453F73E8"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2.5</w:t>
            </w:r>
          </w:p>
        </w:tc>
        <w:tc>
          <w:tcPr>
            <w:tcW w:w="1503" w:type="dxa"/>
          </w:tcPr>
          <w:p w14:paraId="2E4E71A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1.4</w:t>
            </w:r>
          </w:p>
        </w:tc>
        <w:tc>
          <w:tcPr>
            <w:tcW w:w="1503" w:type="dxa"/>
          </w:tcPr>
          <w:p w14:paraId="126A3257"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0.2</w:t>
            </w:r>
          </w:p>
        </w:tc>
      </w:tr>
    </w:tbl>
    <w:p w14:paraId="700ABF11" w14:textId="77777777" w:rsidR="00A676B9" w:rsidRPr="00A676B9" w:rsidRDefault="00A676B9" w:rsidP="00A676B9">
      <w:pPr>
        <w:spacing w:after="0" w:line="240" w:lineRule="auto"/>
        <w:jc w:val="both"/>
        <w:rPr>
          <w:rFonts w:ascii="Arial" w:hAnsi="Arial" w:cs="Arial"/>
          <w:b/>
          <w:bCs/>
          <w:sz w:val="24"/>
          <w:szCs w:val="24"/>
        </w:rPr>
      </w:pPr>
    </w:p>
    <w:p w14:paraId="6750D4A0" w14:textId="77777777" w:rsidR="00A676B9" w:rsidRPr="00A676B9" w:rsidRDefault="00A676B9" w:rsidP="00A676B9">
      <w:pPr>
        <w:spacing w:after="0" w:line="240" w:lineRule="auto"/>
        <w:jc w:val="right"/>
        <w:rPr>
          <w:rFonts w:ascii="Arial" w:hAnsi="Arial" w:cs="Arial"/>
          <w:i/>
          <w:iCs/>
          <w:sz w:val="24"/>
          <w:szCs w:val="24"/>
        </w:rPr>
      </w:pPr>
      <w:r w:rsidRPr="00A676B9">
        <w:rPr>
          <w:rFonts w:ascii="Arial" w:hAnsi="Arial" w:cs="Arial"/>
          <w:sz w:val="24"/>
          <w:szCs w:val="24"/>
        </w:rPr>
        <w:t xml:space="preserve">Source of Tables 2 &amp; 3: </w:t>
      </w:r>
      <w:r w:rsidRPr="00A676B9">
        <w:rPr>
          <w:rFonts w:ascii="Arial" w:hAnsi="Arial" w:cs="Arial"/>
          <w:i/>
          <w:iCs/>
          <w:sz w:val="24"/>
          <w:szCs w:val="24"/>
        </w:rPr>
        <w:t>World Bank</w:t>
      </w:r>
    </w:p>
    <w:p w14:paraId="22F9FC3B" w14:textId="77777777" w:rsidR="00A676B9" w:rsidRPr="00A676B9" w:rsidRDefault="00A676B9" w:rsidP="00A676B9">
      <w:pPr>
        <w:spacing w:after="0" w:line="240" w:lineRule="auto"/>
        <w:jc w:val="center"/>
        <w:rPr>
          <w:rFonts w:ascii="Arial" w:hAnsi="Arial" w:cs="Arial"/>
          <w:b/>
          <w:bCs/>
          <w:sz w:val="24"/>
          <w:szCs w:val="24"/>
        </w:rPr>
      </w:pPr>
    </w:p>
    <w:p w14:paraId="6B4E31CE" w14:textId="77777777" w:rsidR="00A676B9" w:rsidRPr="00A676B9" w:rsidRDefault="00A676B9" w:rsidP="00A676B9">
      <w:pPr>
        <w:spacing w:after="0" w:line="240" w:lineRule="auto"/>
        <w:jc w:val="center"/>
        <w:rPr>
          <w:rFonts w:ascii="Arial" w:hAnsi="Arial" w:cs="Arial"/>
          <w:b/>
          <w:bCs/>
          <w:sz w:val="24"/>
          <w:szCs w:val="24"/>
        </w:rPr>
      </w:pPr>
      <w:r w:rsidRPr="00A676B9">
        <w:rPr>
          <w:rFonts w:ascii="Arial" w:hAnsi="Arial" w:cs="Arial"/>
          <w:b/>
          <w:bCs/>
          <w:sz w:val="24"/>
          <w:szCs w:val="24"/>
        </w:rPr>
        <w:t xml:space="preserve">Table 4: Government Budget Balance </w:t>
      </w:r>
      <w:r w:rsidRPr="00A676B9">
        <w:rPr>
          <w:rFonts w:ascii="Arial" w:hAnsi="Arial" w:cs="Arial"/>
          <w:sz w:val="24"/>
          <w:szCs w:val="24"/>
        </w:rPr>
        <w:t>(% of GDP)</w:t>
      </w:r>
    </w:p>
    <w:tbl>
      <w:tblPr>
        <w:tblStyle w:val="TableGrid"/>
        <w:tblW w:w="0" w:type="auto"/>
        <w:tblInd w:w="419" w:type="dxa"/>
        <w:tblLook w:val="04A0" w:firstRow="1" w:lastRow="0" w:firstColumn="1" w:lastColumn="0" w:noHBand="0" w:noVBand="1"/>
      </w:tblPr>
      <w:tblGrid>
        <w:gridCol w:w="1439"/>
        <w:gridCol w:w="1430"/>
        <w:gridCol w:w="1432"/>
        <w:gridCol w:w="1432"/>
        <w:gridCol w:w="1432"/>
        <w:gridCol w:w="1432"/>
      </w:tblGrid>
      <w:tr w:rsidR="00A676B9" w:rsidRPr="00A676B9" w14:paraId="114BB7D3" w14:textId="77777777" w:rsidTr="00E47323">
        <w:tc>
          <w:tcPr>
            <w:tcW w:w="1502" w:type="dxa"/>
          </w:tcPr>
          <w:p w14:paraId="31D9ABE4" w14:textId="77777777" w:rsidR="00A676B9" w:rsidRPr="00A676B9" w:rsidRDefault="00A676B9" w:rsidP="00A676B9">
            <w:pPr>
              <w:jc w:val="center"/>
              <w:rPr>
                <w:rFonts w:ascii="Arial" w:hAnsi="Arial" w:cs="Arial"/>
                <w:sz w:val="24"/>
                <w:szCs w:val="24"/>
              </w:rPr>
            </w:pPr>
          </w:p>
        </w:tc>
        <w:tc>
          <w:tcPr>
            <w:tcW w:w="1502" w:type="dxa"/>
          </w:tcPr>
          <w:p w14:paraId="06A40D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2010</w:t>
            </w:r>
          </w:p>
        </w:tc>
        <w:tc>
          <w:tcPr>
            <w:tcW w:w="1503" w:type="dxa"/>
          </w:tcPr>
          <w:p w14:paraId="5EAC0ED0"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2011</w:t>
            </w:r>
          </w:p>
        </w:tc>
        <w:tc>
          <w:tcPr>
            <w:tcW w:w="1503" w:type="dxa"/>
          </w:tcPr>
          <w:p w14:paraId="09C1314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2012</w:t>
            </w:r>
          </w:p>
        </w:tc>
        <w:tc>
          <w:tcPr>
            <w:tcW w:w="1503" w:type="dxa"/>
          </w:tcPr>
          <w:p w14:paraId="538C6A5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2013</w:t>
            </w:r>
          </w:p>
        </w:tc>
        <w:tc>
          <w:tcPr>
            <w:tcW w:w="1503" w:type="dxa"/>
          </w:tcPr>
          <w:p w14:paraId="4CD7E3D1"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2014</w:t>
            </w:r>
          </w:p>
        </w:tc>
      </w:tr>
      <w:tr w:rsidR="00A676B9" w:rsidRPr="00A676B9" w14:paraId="4693D2E0" w14:textId="77777777" w:rsidTr="00E47323">
        <w:tc>
          <w:tcPr>
            <w:tcW w:w="1502" w:type="dxa"/>
          </w:tcPr>
          <w:p w14:paraId="20D7C68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China</w:t>
            </w:r>
          </w:p>
        </w:tc>
        <w:tc>
          <w:tcPr>
            <w:tcW w:w="1502" w:type="dxa"/>
          </w:tcPr>
          <w:p w14:paraId="10E8480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-2.5</w:t>
            </w:r>
          </w:p>
        </w:tc>
        <w:tc>
          <w:tcPr>
            <w:tcW w:w="1503" w:type="dxa"/>
          </w:tcPr>
          <w:p w14:paraId="3A209268"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-1.1</w:t>
            </w:r>
          </w:p>
        </w:tc>
        <w:tc>
          <w:tcPr>
            <w:tcW w:w="1503" w:type="dxa"/>
          </w:tcPr>
          <w:p w14:paraId="0E9D7368"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-1.5</w:t>
            </w:r>
          </w:p>
        </w:tc>
        <w:tc>
          <w:tcPr>
            <w:tcW w:w="1503" w:type="dxa"/>
          </w:tcPr>
          <w:p w14:paraId="4961052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-2.1</w:t>
            </w:r>
          </w:p>
        </w:tc>
        <w:tc>
          <w:tcPr>
            <w:tcW w:w="1503" w:type="dxa"/>
          </w:tcPr>
          <w:p w14:paraId="2A1018CA"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-2.1</w:t>
            </w:r>
          </w:p>
        </w:tc>
      </w:tr>
      <w:tr w:rsidR="00A676B9" w:rsidRPr="00A676B9" w14:paraId="7F6E3E8A" w14:textId="77777777" w:rsidTr="00E47323">
        <w:tc>
          <w:tcPr>
            <w:tcW w:w="1502" w:type="dxa"/>
          </w:tcPr>
          <w:p w14:paraId="300DBEE2"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UK</w:t>
            </w:r>
          </w:p>
        </w:tc>
        <w:tc>
          <w:tcPr>
            <w:tcW w:w="1502" w:type="dxa"/>
          </w:tcPr>
          <w:p w14:paraId="1A609FF9"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-9.7</w:t>
            </w:r>
          </w:p>
        </w:tc>
        <w:tc>
          <w:tcPr>
            <w:tcW w:w="1503" w:type="dxa"/>
          </w:tcPr>
          <w:p w14:paraId="07E5CBF5"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-7.7</w:t>
            </w:r>
          </w:p>
        </w:tc>
        <w:tc>
          <w:tcPr>
            <w:tcW w:w="1503" w:type="dxa"/>
          </w:tcPr>
          <w:p w14:paraId="15CE27D6"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-8.3</w:t>
            </w:r>
          </w:p>
        </w:tc>
        <w:tc>
          <w:tcPr>
            <w:tcW w:w="1503" w:type="dxa"/>
          </w:tcPr>
          <w:p w14:paraId="20DAE83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-5.6</w:t>
            </w:r>
          </w:p>
        </w:tc>
        <w:tc>
          <w:tcPr>
            <w:tcW w:w="1503" w:type="dxa"/>
          </w:tcPr>
          <w:p w14:paraId="090AD3D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-5.6</w:t>
            </w:r>
          </w:p>
        </w:tc>
      </w:tr>
      <w:tr w:rsidR="00A676B9" w:rsidRPr="00A676B9" w14:paraId="7796AC0E" w14:textId="77777777" w:rsidTr="00E47323">
        <w:tc>
          <w:tcPr>
            <w:tcW w:w="1502" w:type="dxa"/>
          </w:tcPr>
          <w:p w14:paraId="436226FF"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Euro Area</w:t>
            </w:r>
          </w:p>
        </w:tc>
        <w:tc>
          <w:tcPr>
            <w:tcW w:w="1502" w:type="dxa"/>
          </w:tcPr>
          <w:p w14:paraId="277EF003"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-6.2</w:t>
            </w:r>
          </w:p>
        </w:tc>
        <w:tc>
          <w:tcPr>
            <w:tcW w:w="1503" w:type="dxa"/>
          </w:tcPr>
          <w:p w14:paraId="4BCA61BB"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-4.2</w:t>
            </w:r>
          </w:p>
        </w:tc>
        <w:tc>
          <w:tcPr>
            <w:tcW w:w="1503" w:type="dxa"/>
          </w:tcPr>
          <w:p w14:paraId="2E14171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-3.7</w:t>
            </w:r>
          </w:p>
        </w:tc>
        <w:tc>
          <w:tcPr>
            <w:tcW w:w="1503" w:type="dxa"/>
          </w:tcPr>
          <w:p w14:paraId="53C6336E"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-3.0</w:t>
            </w:r>
          </w:p>
        </w:tc>
        <w:tc>
          <w:tcPr>
            <w:tcW w:w="1503" w:type="dxa"/>
          </w:tcPr>
          <w:p w14:paraId="75AFE2A4" w14:textId="77777777" w:rsidR="00A676B9" w:rsidRPr="00A676B9" w:rsidRDefault="00A676B9" w:rsidP="00A676B9">
            <w:pPr>
              <w:jc w:val="center"/>
              <w:rPr>
                <w:rFonts w:ascii="Arial" w:hAnsi="Arial" w:cs="Arial"/>
                <w:sz w:val="24"/>
                <w:szCs w:val="24"/>
              </w:rPr>
            </w:pPr>
            <w:r w:rsidRPr="00A676B9">
              <w:rPr>
                <w:rFonts w:ascii="Arial" w:hAnsi="Arial" w:cs="Arial"/>
                <w:sz w:val="24"/>
                <w:szCs w:val="24"/>
              </w:rPr>
              <w:t>-2.6</w:t>
            </w:r>
          </w:p>
        </w:tc>
      </w:tr>
    </w:tbl>
    <w:p w14:paraId="6A53864D" w14:textId="77777777" w:rsidR="00A676B9" w:rsidRPr="00A676B9" w:rsidRDefault="00A676B9" w:rsidP="00A676B9">
      <w:pPr>
        <w:spacing w:after="0" w:line="240" w:lineRule="auto"/>
        <w:jc w:val="center"/>
        <w:rPr>
          <w:rFonts w:ascii="Arial" w:hAnsi="Arial" w:cs="Arial"/>
          <w:b/>
          <w:bCs/>
          <w:sz w:val="24"/>
          <w:szCs w:val="24"/>
        </w:rPr>
      </w:pPr>
    </w:p>
    <w:p w14:paraId="2154237F" w14:textId="77777777" w:rsidR="00A676B9" w:rsidRPr="00A676B9" w:rsidRDefault="00A676B9" w:rsidP="00A676B9">
      <w:pPr>
        <w:spacing w:after="0" w:line="240" w:lineRule="auto"/>
        <w:jc w:val="right"/>
        <w:rPr>
          <w:rFonts w:ascii="Arial" w:hAnsi="Arial" w:cs="Arial"/>
          <w:i/>
          <w:iCs/>
          <w:sz w:val="24"/>
          <w:szCs w:val="24"/>
        </w:rPr>
      </w:pPr>
      <w:r w:rsidRPr="00A676B9">
        <w:rPr>
          <w:rFonts w:ascii="Arial" w:hAnsi="Arial" w:cs="Arial"/>
          <w:sz w:val="24"/>
          <w:szCs w:val="24"/>
        </w:rPr>
        <w:t xml:space="preserve">Source: </w:t>
      </w:r>
      <w:r w:rsidRPr="00A676B9">
        <w:rPr>
          <w:rFonts w:ascii="Arial" w:hAnsi="Arial" w:cs="Arial"/>
          <w:i/>
          <w:iCs/>
          <w:sz w:val="24"/>
          <w:szCs w:val="24"/>
        </w:rPr>
        <w:t>www.tradingeconomics.com</w:t>
      </w:r>
    </w:p>
    <w:p w14:paraId="33E28BB7" w14:textId="77777777" w:rsidR="00A676B9" w:rsidRPr="00A676B9" w:rsidRDefault="00A676B9" w:rsidP="00A676B9">
      <w:pPr>
        <w:spacing w:after="0" w:line="240" w:lineRule="auto"/>
        <w:jc w:val="center"/>
        <w:rPr>
          <w:rFonts w:ascii="Arial" w:hAnsi="Arial" w:cs="Arial"/>
          <w:sz w:val="24"/>
          <w:szCs w:val="24"/>
        </w:rPr>
      </w:pPr>
    </w:p>
    <w:p w14:paraId="1516B763" w14:textId="77777777" w:rsidR="00A676B9" w:rsidRPr="00A676B9" w:rsidRDefault="00A676B9" w:rsidP="00A676B9">
      <w:pPr>
        <w:spacing w:after="0" w:line="240" w:lineRule="auto"/>
        <w:jc w:val="both"/>
        <w:rPr>
          <w:rFonts w:ascii="Arial" w:hAnsi="Arial" w:cs="Arial"/>
          <w:b/>
          <w:bCs/>
          <w:sz w:val="24"/>
          <w:szCs w:val="24"/>
        </w:rPr>
      </w:pPr>
    </w:p>
    <w:p w14:paraId="050363B3" w14:textId="77777777" w:rsidR="00A676B9" w:rsidRPr="00A676B9" w:rsidRDefault="00A676B9" w:rsidP="00A676B9">
      <w:pPr>
        <w:spacing w:after="0" w:line="240" w:lineRule="auto"/>
        <w:jc w:val="both"/>
        <w:outlineLvl w:val="0"/>
        <w:rPr>
          <w:rFonts w:ascii="Arial" w:eastAsia="Times New Roman" w:hAnsi="Arial" w:cs="Arial"/>
          <w:b/>
          <w:bCs/>
          <w:kern w:val="36"/>
          <w:sz w:val="24"/>
          <w:szCs w:val="24"/>
        </w:rPr>
      </w:pPr>
      <w:r w:rsidRPr="00A676B9">
        <w:rPr>
          <w:rFonts w:ascii="Arial" w:eastAsia="Times New Roman" w:hAnsi="Arial" w:cs="Arial"/>
          <w:b/>
          <w:bCs/>
          <w:kern w:val="36"/>
          <w:sz w:val="24"/>
          <w:szCs w:val="24"/>
        </w:rPr>
        <w:t>Questions</w:t>
      </w:r>
    </w:p>
    <w:p w14:paraId="6E1486F1" w14:textId="77777777"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2489BF3E" w14:textId="48910083"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(a) </w:t>
      </w:r>
      <w:r w:rsidRPr="00A676B9">
        <w:rPr>
          <w:rFonts w:ascii="Arial" w:eastAsia="Times New Roman" w:hAnsi="Arial" w:cs="Arial"/>
          <w:bCs/>
          <w:kern w:val="36"/>
          <w:sz w:val="24"/>
          <w:szCs w:val="24"/>
        </w:rPr>
        <w:t>Which economy in Table 2 shows the least variation in its growth rate?</w:t>
      </w:r>
      <w:r>
        <w:rPr>
          <w:rFonts w:ascii="Arial" w:eastAsia="Times New Roman" w:hAnsi="Arial" w:cs="Arial"/>
          <w:bCs/>
          <w:kern w:val="36"/>
          <w:sz w:val="24"/>
          <w:szCs w:val="24"/>
        </w:rPr>
        <w:t xml:space="preserve"> [1]</w:t>
      </w:r>
    </w:p>
    <w:p w14:paraId="537A7262" w14:textId="7456D82D" w:rsidR="00A676B9" w:rsidRPr="00A676B9" w:rsidRDefault="00A676B9" w:rsidP="00A676B9">
      <w:pPr>
        <w:spacing w:after="0" w:line="240" w:lineRule="auto"/>
        <w:jc w:val="both"/>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                   </w:t>
      </w:r>
    </w:p>
    <w:p w14:paraId="2EE37729" w14:textId="4620E267" w:rsid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(b) (</w:t>
      </w:r>
      <w:proofErr w:type="spellStart"/>
      <w:r>
        <w:rPr>
          <w:rFonts w:ascii="Arial" w:eastAsia="Times New Roman" w:hAnsi="Arial" w:cs="Arial"/>
          <w:bCs/>
          <w:kern w:val="36"/>
          <w:sz w:val="24"/>
          <w:szCs w:val="24"/>
        </w:rPr>
        <w:t>i</w:t>
      </w:r>
      <w:proofErr w:type="spellEnd"/>
      <w:r>
        <w:rPr>
          <w:rFonts w:ascii="Arial" w:eastAsia="Times New Roman" w:hAnsi="Arial" w:cs="Arial"/>
          <w:bCs/>
          <w:kern w:val="36"/>
          <w:sz w:val="24"/>
          <w:szCs w:val="24"/>
        </w:rPr>
        <w:t xml:space="preserve">) </w:t>
      </w:r>
      <w:r w:rsidRPr="00A676B9">
        <w:rPr>
          <w:rFonts w:ascii="Arial" w:eastAsia="Times New Roman" w:hAnsi="Arial" w:cs="Arial"/>
          <w:bCs/>
          <w:kern w:val="36"/>
          <w:sz w:val="24"/>
          <w:szCs w:val="24"/>
        </w:rPr>
        <w:t xml:space="preserve">Besides the balance of trade in goods and services, state one other component of the current account on the balance </w:t>
      </w:r>
      <w:r>
        <w:rPr>
          <w:rFonts w:ascii="Arial" w:eastAsia="Times New Roman" w:hAnsi="Arial" w:cs="Arial"/>
          <w:bCs/>
          <w:kern w:val="36"/>
          <w:sz w:val="24"/>
          <w:szCs w:val="24"/>
        </w:rPr>
        <w:t>of payments. [1]</w:t>
      </w:r>
    </w:p>
    <w:p w14:paraId="769A6C18" w14:textId="1D31DD64" w:rsidR="00CC6A50" w:rsidRDefault="00CC6A50" w:rsidP="00A676B9">
      <w:pPr>
        <w:spacing w:after="0" w:line="240" w:lineRule="auto"/>
        <w:jc w:val="both"/>
        <w:outlineLvl w:val="0"/>
        <w:rPr>
          <w:rFonts w:ascii="Arial" w:eastAsia="Times New Roman" w:hAnsi="Arial" w:cs="Arial"/>
          <w:bCs/>
          <w:kern w:val="36"/>
          <w:sz w:val="24"/>
          <w:szCs w:val="24"/>
        </w:rPr>
      </w:pPr>
    </w:p>
    <w:p w14:paraId="1D0704CB" w14:textId="78869931" w:rsidR="00CC6A50" w:rsidRDefault="00CC6A50"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Asses the economic performance of the three economic entities. (6)</w:t>
      </w:r>
    </w:p>
    <w:p w14:paraId="499025FB" w14:textId="3501B8FB" w:rsidR="00A676B9" w:rsidRPr="00A676B9" w:rsidRDefault="00A676B9" w:rsidP="00A676B9">
      <w:pPr>
        <w:spacing w:after="0" w:line="240" w:lineRule="auto"/>
        <w:jc w:val="both"/>
        <w:outlineLvl w:val="0"/>
        <w:rPr>
          <w:rFonts w:ascii="Arial" w:eastAsia="Times New Roman" w:hAnsi="Arial" w:cs="Arial"/>
          <w:bCs/>
          <w:kern w:val="36"/>
          <w:sz w:val="24"/>
          <w:szCs w:val="24"/>
        </w:rPr>
      </w:pPr>
    </w:p>
    <w:p w14:paraId="75C5A654"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62739D35" w14:textId="3D8BD300" w:rsidR="00A676B9" w:rsidRPr="00A676B9" w:rsidRDefault="00A676B9" w:rsidP="00A676B9">
      <w:pPr>
        <w:spacing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(d) </w:t>
      </w:r>
      <w:r w:rsidRPr="00A676B9">
        <w:rPr>
          <w:rFonts w:ascii="Arial" w:eastAsia="Times New Roman" w:hAnsi="Arial" w:cs="Arial"/>
          <w:bCs/>
          <w:kern w:val="36"/>
          <w:sz w:val="24"/>
          <w:szCs w:val="24"/>
        </w:rPr>
        <w:t>Comment on the usefulness of GDP growth rates in measuring UK’</w:t>
      </w:r>
      <w:r>
        <w:rPr>
          <w:rFonts w:ascii="Arial" w:eastAsia="Times New Roman" w:hAnsi="Arial" w:cs="Arial"/>
          <w:bCs/>
          <w:kern w:val="36"/>
          <w:sz w:val="24"/>
          <w:szCs w:val="24"/>
        </w:rPr>
        <w:t>s standard of living</w:t>
      </w:r>
      <w:r w:rsidR="00CC6A50">
        <w:rPr>
          <w:rFonts w:ascii="Arial" w:eastAsia="Times New Roman" w:hAnsi="Arial" w:cs="Arial"/>
          <w:bCs/>
          <w:kern w:val="36"/>
          <w:sz w:val="24"/>
          <w:szCs w:val="24"/>
        </w:rPr>
        <w:t xml:space="preserve"> and prove which country has the most improvement in SOL.</w:t>
      </w:r>
      <w:r>
        <w:rPr>
          <w:rFonts w:ascii="Arial" w:eastAsia="Times New Roman" w:hAnsi="Arial" w:cs="Arial"/>
          <w:bCs/>
          <w:kern w:val="36"/>
          <w:sz w:val="24"/>
          <w:szCs w:val="24"/>
        </w:rPr>
        <w:t xml:space="preserve"> </w:t>
      </w:r>
      <w:r w:rsidRPr="00A676B9">
        <w:rPr>
          <w:rFonts w:ascii="Arial" w:eastAsia="Times New Roman" w:hAnsi="Arial" w:cs="Arial"/>
          <w:bCs/>
          <w:kern w:val="36"/>
          <w:sz w:val="24"/>
          <w:szCs w:val="24"/>
        </w:rPr>
        <w:t>[</w:t>
      </w:r>
      <w:r w:rsidR="00CC6A50">
        <w:rPr>
          <w:rFonts w:ascii="Arial" w:eastAsia="Times New Roman" w:hAnsi="Arial" w:cs="Arial"/>
          <w:bCs/>
          <w:kern w:val="36"/>
          <w:sz w:val="24"/>
          <w:szCs w:val="24"/>
        </w:rPr>
        <w:t>10</w:t>
      </w:r>
      <w:r w:rsidRPr="00A676B9">
        <w:rPr>
          <w:rFonts w:ascii="Arial" w:eastAsia="Times New Roman" w:hAnsi="Arial" w:cs="Arial"/>
          <w:bCs/>
          <w:kern w:val="36"/>
          <w:sz w:val="24"/>
          <w:szCs w:val="24"/>
        </w:rPr>
        <w:t>]</w:t>
      </w:r>
    </w:p>
    <w:p w14:paraId="369B6466" w14:textId="77777777" w:rsidR="00A676B9" w:rsidRDefault="00A676B9" w:rsidP="00A676B9">
      <w:pPr>
        <w:spacing w:after="0" w:line="240" w:lineRule="auto"/>
        <w:jc w:val="both"/>
        <w:outlineLvl w:val="0"/>
        <w:rPr>
          <w:rFonts w:ascii="Arial" w:eastAsia="Times New Roman" w:hAnsi="Arial" w:cs="Arial"/>
          <w:bCs/>
          <w:kern w:val="36"/>
          <w:sz w:val="24"/>
          <w:szCs w:val="24"/>
        </w:rPr>
      </w:pPr>
    </w:p>
    <w:p w14:paraId="385D45CA" w14:textId="060B65CE" w:rsidR="00A676B9" w:rsidRDefault="00A676B9" w:rsidP="00CC6A50">
      <w:pPr>
        <w:spacing w:after="0" w:line="240" w:lineRule="auto"/>
        <w:jc w:val="right"/>
        <w:outlineLvl w:val="0"/>
        <w:rPr>
          <w:rFonts w:ascii="Arial" w:eastAsia="Times New Roman" w:hAnsi="Arial" w:cs="Arial"/>
          <w:bCs/>
          <w:kern w:val="36"/>
          <w:sz w:val="24"/>
          <w:szCs w:val="24"/>
        </w:rPr>
      </w:pPr>
      <w:r w:rsidRPr="00A676B9">
        <w:rPr>
          <w:rFonts w:ascii="Arial" w:eastAsia="Times New Roman" w:hAnsi="Arial" w:cs="Arial"/>
          <w:bCs/>
          <w:kern w:val="36"/>
          <w:sz w:val="24"/>
          <w:szCs w:val="24"/>
        </w:rPr>
        <w:t xml:space="preserve">                                                                                                </w:t>
      </w:r>
      <w:r>
        <w:rPr>
          <w:rFonts w:ascii="Arial" w:eastAsia="Times New Roman" w:hAnsi="Arial" w:cs="Arial"/>
          <w:bCs/>
          <w:kern w:val="36"/>
          <w:sz w:val="24"/>
          <w:szCs w:val="24"/>
        </w:rPr>
        <w:t xml:space="preserve">                           </w:t>
      </w:r>
    </w:p>
    <w:sectPr w:rsidR="00A67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980B2B"/>
    <w:multiLevelType w:val="hybridMultilevel"/>
    <w:tmpl w:val="A45286BC"/>
    <w:lvl w:ilvl="0" w:tplc="334083F0">
      <w:numFmt w:val="bullet"/>
      <w:lvlText w:val=""/>
      <w:lvlJc w:val="left"/>
      <w:pPr>
        <w:tabs>
          <w:tab w:val="num" w:pos="360"/>
        </w:tabs>
        <w:ind w:left="360" w:hanging="360"/>
      </w:pPr>
      <w:rPr>
        <w:rFonts w:ascii="Symbol" w:hAnsi="Symbol" w:hint="default"/>
        <w:b w:val="0"/>
        <w:i w:val="0"/>
        <w:sz w:val="22"/>
        <w:szCs w:val="22"/>
      </w:rPr>
    </w:lvl>
    <w:lvl w:ilvl="1" w:tplc="E464877E">
      <w:start w:val="1"/>
      <w:numFmt w:val="bullet"/>
      <w:lvlText w:val=""/>
      <w:lvlJc w:val="left"/>
      <w:pPr>
        <w:tabs>
          <w:tab w:val="num" w:pos="720"/>
        </w:tabs>
        <w:ind w:left="72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F3E52"/>
    <w:multiLevelType w:val="hybridMultilevel"/>
    <w:tmpl w:val="281E7A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DC63316"/>
    <w:multiLevelType w:val="hybridMultilevel"/>
    <w:tmpl w:val="03BA5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307028"/>
    <w:multiLevelType w:val="hybridMultilevel"/>
    <w:tmpl w:val="240436C2"/>
    <w:lvl w:ilvl="0" w:tplc="832CA04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B494A9A"/>
    <w:multiLevelType w:val="hybridMultilevel"/>
    <w:tmpl w:val="41304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A560ED4"/>
    <w:multiLevelType w:val="hybridMultilevel"/>
    <w:tmpl w:val="401A9E3E"/>
    <w:lvl w:ilvl="0" w:tplc="CD665662">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13"/>
    <w:rsid w:val="00141C2D"/>
    <w:rsid w:val="00190A8F"/>
    <w:rsid w:val="001B2E22"/>
    <w:rsid w:val="002150E7"/>
    <w:rsid w:val="00263658"/>
    <w:rsid w:val="002D723B"/>
    <w:rsid w:val="00347426"/>
    <w:rsid w:val="003952B2"/>
    <w:rsid w:val="003A53B8"/>
    <w:rsid w:val="003B609C"/>
    <w:rsid w:val="003C1936"/>
    <w:rsid w:val="00496F70"/>
    <w:rsid w:val="004B04DE"/>
    <w:rsid w:val="004C2413"/>
    <w:rsid w:val="00526827"/>
    <w:rsid w:val="005405C2"/>
    <w:rsid w:val="005C19E3"/>
    <w:rsid w:val="006427AC"/>
    <w:rsid w:val="00782C63"/>
    <w:rsid w:val="007832BC"/>
    <w:rsid w:val="007D4B1E"/>
    <w:rsid w:val="007F67AF"/>
    <w:rsid w:val="008C3B18"/>
    <w:rsid w:val="00932764"/>
    <w:rsid w:val="00945609"/>
    <w:rsid w:val="0096263A"/>
    <w:rsid w:val="00A16250"/>
    <w:rsid w:val="00A671AE"/>
    <w:rsid w:val="00A676B9"/>
    <w:rsid w:val="00AB21DF"/>
    <w:rsid w:val="00AF5720"/>
    <w:rsid w:val="00B947A9"/>
    <w:rsid w:val="00BA35B2"/>
    <w:rsid w:val="00CC6A50"/>
    <w:rsid w:val="00DC3175"/>
    <w:rsid w:val="00DE391D"/>
    <w:rsid w:val="00E8731D"/>
    <w:rsid w:val="00FA4EC4"/>
    <w:rsid w:val="00FB540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NormalWeb">
    <w:name w:val="Normal (Web)"/>
    <w:basedOn w:val="Normal"/>
    <w:unhideWhenUsed/>
    <w:rsid w:val="00496F70"/>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PlainText">
    <w:name w:val="Plain Text"/>
    <w:basedOn w:val="Normal"/>
    <w:link w:val="PlainTextChar"/>
    <w:rsid w:val="00496F70"/>
    <w:pPr>
      <w:spacing w:after="0" w:line="240" w:lineRule="auto"/>
    </w:pPr>
    <w:rPr>
      <w:rFonts w:ascii="Courier New" w:eastAsia="SimSun" w:hAnsi="Courier New" w:cs="Times New Roman"/>
      <w:sz w:val="20"/>
      <w:szCs w:val="20"/>
      <w:lang w:val="en-GB" w:eastAsia="en-US"/>
    </w:rPr>
  </w:style>
  <w:style w:type="character" w:customStyle="1" w:styleId="PlainTextChar">
    <w:name w:val="Plain Text Char"/>
    <w:basedOn w:val="DefaultParagraphFont"/>
    <w:link w:val="PlainText"/>
    <w:rsid w:val="00496F70"/>
    <w:rPr>
      <w:rFonts w:ascii="Courier New" w:eastAsia="SimSun" w:hAnsi="Courier New" w:cs="Times New Roman"/>
      <w:sz w:val="20"/>
      <w:szCs w:val="20"/>
      <w:lang w:val="en-GB" w:eastAsia="en-US"/>
    </w:rPr>
  </w:style>
  <w:style w:type="paragraph" w:styleId="BodyText2">
    <w:name w:val="Body Text 2"/>
    <w:basedOn w:val="Normal"/>
    <w:link w:val="BodyText2Char"/>
    <w:rsid w:val="00496F70"/>
    <w:pPr>
      <w:spacing w:after="120" w:line="480" w:lineRule="auto"/>
    </w:pPr>
    <w:rPr>
      <w:rFonts w:ascii="Arial" w:eastAsia="SimSun" w:hAnsi="Arial" w:cs="Arial"/>
      <w:sz w:val="20"/>
      <w:szCs w:val="20"/>
      <w:lang w:val="en-GB"/>
    </w:rPr>
  </w:style>
  <w:style w:type="character" w:customStyle="1" w:styleId="BodyText2Char">
    <w:name w:val="Body Text 2 Char"/>
    <w:basedOn w:val="DefaultParagraphFont"/>
    <w:link w:val="BodyText2"/>
    <w:rsid w:val="00496F70"/>
    <w:rPr>
      <w:rFonts w:ascii="Arial" w:eastAsia="SimSun" w:hAnsi="Arial" w:cs="Arial"/>
      <w:sz w:val="20"/>
      <w:szCs w:val="20"/>
      <w:lang w:val="en-GB"/>
    </w:rPr>
  </w:style>
  <w:style w:type="character" w:customStyle="1" w:styleId="apple-converted-space">
    <w:name w:val="apple-converted-space"/>
    <w:basedOn w:val="DefaultParagraphFont"/>
    <w:rsid w:val="00A676B9"/>
  </w:style>
  <w:style w:type="table" w:styleId="TableGrid">
    <w:name w:val="Table Grid"/>
    <w:basedOn w:val="TableNormal"/>
    <w:uiPriority w:val="39"/>
    <w:rsid w:val="00A6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3539B1F-3B02-440C-9DBE-0CA22700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2020-03-22T10:41:00Z</cp:lastPrinted>
  <dcterms:created xsi:type="dcterms:W3CDTF">2021-01-01T11:26:00Z</dcterms:created>
  <dcterms:modified xsi:type="dcterms:W3CDTF">2021-01-01T11:26:00Z</dcterms:modified>
</cp:coreProperties>
</file>