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7186" w14:textId="07C63A88" w:rsidR="008059EB" w:rsidRDefault="0098585D" w:rsidP="008059EB">
      <w:pPr>
        <w:pStyle w:val="Default"/>
        <w:tabs>
          <w:tab w:val="left" w:pos="0"/>
        </w:tabs>
        <w:jc w:val="center"/>
        <w:rPr>
          <w:rFonts w:ascii="Arial" w:hAnsi="Arial" w:cs="Arial"/>
          <w:b/>
          <w:sz w:val="17"/>
          <w:szCs w:val="17"/>
        </w:rPr>
      </w:pPr>
      <w:r>
        <w:rPr>
          <w:rFonts w:ascii="Arial" w:hAnsi="Arial" w:cs="Arial"/>
          <w:b/>
          <w:sz w:val="32"/>
          <w:szCs w:val="32"/>
        </w:rPr>
        <w:t>‘</w:t>
      </w:r>
      <w:r w:rsidR="008059EB">
        <w:rPr>
          <w:rFonts w:ascii="Arial" w:hAnsi="Arial" w:cs="Arial"/>
          <w:b/>
          <w:sz w:val="32"/>
          <w:szCs w:val="32"/>
        </w:rPr>
        <w:t>GCE A Level H2 Economics 201</w:t>
      </w:r>
      <w:r w:rsidR="00D63155">
        <w:rPr>
          <w:rFonts w:ascii="Arial" w:hAnsi="Arial" w:cs="Arial"/>
          <w:b/>
          <w:sz w:val="32"/>
          <w:szCs w:val="32"/>
        </w:rPr>
        <w:t>8</w:t>
      </w:r>
      <w:r w:rsidR="008059EB">
        <w:rPr>
          <w:rFonts w:ascii="Arial" w:hAnsi="Arial" w:cs="Arial"/>
          <w:b/>
          <w:sz w:val="32"/>
          <w:szCs w:val="32"/>
        </w:rPr>
        <w:t xml:space="preserve"> Question 2</w:t>
      </w:r>
    </w:p>
    <w:p w14:paraId="13F1D0D0" w14:textId="77777777" w:rsidR="008059EB" w:rsidRDefault="008059EB" w:rsidP="008059EB">
      <w:pPr>
        <w:autoSpaceDE w:val="0"/>
        <w:autoSpaceDN w:val="0"/>
        <w:adjustRightInd w:val="0"/>
        <w:jc w:val="both"/>
        <w:rPr>
          <w:rFonts w:ascii="Arial" w:hAnsi="Arial" w:cs="Arial"/>
          <w:lang w:val="en-SG"/>
        </w:rPr>
      </w:pPr>
    </w:p>
    <w:p w14:paraId="3EE478B4" w14:textId="2E356DC0" w:rsidR="008059EB" w:rsidRDefault="00D63155" w:rsidP="008059EB">
      <w:pPr>
        <w:autoSpaceDE w:val="0"/>
        <w:autoSpaceDN w:val="0"/>
        <w:adjustRightInd w:val="0"/>
        <w:jc w:val="center"/>
        <w:rPr>
          <w:rFonts w:ascii="Arial" w:hAnsi="Arial" w:cs="Arial"/>
          <w:b/>
          <w:lang w:val="en-SG"/>
        </w:rPr>
      </w:pPr>
      <w:r>
        <w:rPr>
          <w:rFonts w:ascii="Arial" w:hAnsi="Arial" w:cs="Arial"/>
          <w:b/>
          <w:lang w:val="en-SG"/>
        </w:rPr>
        <w:t xml:space="preserve">Bangladesh’s quest for inclusive economic growth </w:t>
      </w:r>
    </w:p>
    <w:p w14:paraId="5DF7739F" w14:textId="77777777" w:rsidR="008059EB" w:rsidRDefault="008059EB" w:rsidP="008059EB">
      <w:pPr>
        <w:autoSpaceDE w:val="0"/>
        <w:autoSpaceDN w:val="0"/>
        <w:adjustRightInd w:val="0"/>
        <w:jc w:val="center"/>
        <w:rPr>
          <w:rFonts w:ascii="Arial" w:hAnsi="Arial" w:cs="Arial"/>
          <w:b/>
          <w:lang w:val="en-SG"/>
        </w:rPr>
      </w:pPr>
    </w:p>
    <w:p w14:paraId="791B799E" w14:textId="56AAD664" w:rsidR="00735AEF" w:rsidRDefault="00D63155" w:rsidP="00D63155">
      <w:pPr>
        <w:autoSpaceDE w:val="0"/>
        <w:autoSpaceDN w:val="0"/>
        <w:adjustRightInd w:val="0"/>
        <w:jc w:val="center"/>
        <w:rPr>
          <w:rFonts w:ascii="Arial" w:hAnsi="Arial" w:cs="Arial"/>
          <w:b/>
          <w:lang w:val="en-SG"/>
        </w:rPr>
      </w:pPr>
      <w:r>
        <w:rPr>
          <w:rFonts w:ascii="Arial" w:hAnsi="Arial" w:cs="Arial"/>
          <w:b/>
          <w:lang w:val="en-SG"/>
        </w:rPr>
        <w:t>Table 1: Bangladesh, selected economic indicators (2000-2014)</w:t>
      </w:r>
    </w:p>
    <w:p w14:paraId="2E15A0F4" w14:textId="6E3AD810" w:rsidR="00735AEF" w:rsidRDefault="00735AEF" w:rsidP="008059EB">
      <w:pPr>
        <w:autoSpaceDE w:val="0"/>
        <w:autoSpaceDN w:val="0"/>
        <w:adjustRightInd w:val="0"/>
        <w:jc w:val="both"/>
        <w:rPr>
          <w:rFonts w:ascii="Arial" w:hAnsi="Arial" w:cs="Arial"/>
          <w:lang w:val="en-SG"/>
        </w:rPr>
      </w:pPr>
    </w:p>
    <w:tbl>
      <w:tblPr>
        <w:tblStyle w:val="TableGrid"/>
        <w:tblW w:w="0" w:type="auto"/>
        <w:tblLook w:val="04A0" w:firstRow="1" w:lastRow="0" w:firstColumn="1" w:lastColumn="0" w:noHBand="0" w:noVBand="1"/>
      </w:tblPr>
      <w:tblGrid>
        <w:gridCol w:w="3955"/>
        <w:gridCol w:w="1265"/>
        <w:gridCol w:w="1265"/>
        <w:gridCol w:w="1265"/>
        <w:gridCol w:w="1266"/>
      </w:tblGrid>
      <w:tr w:rsidR="00D63155" w14:paraId="7BE1004F" w14:textId="77777777" w:rsidTr="0024383C">
        <w:tc>
          <w:tcPr>
            <w:tcW w:w="3955" w:type="dxa"/>
            <w:shd w:val="clear" w:color="auto" w:fill="E7E6E6" w:themeFill="background2"/>
          </w:tcPr>
          <w:p w14:paraId="6349AC03" w14:textId="77777777" w:rsidR="00D63155" w:rsidRPr="0024383C" w:rsidRDefault="00D63155" w:rsidP="008059EB">
            <w:pPr>
              <w:autoSpaceDE w:val="0"/>
              <w:autoSpaceDN w:val="0"/>
              <w:adjustRightInd w:val="0"/>
              <w:jc w:val="both"/>
              <w:rPr>
                <w:rFonts w:ascii="Arial" w:hAnsi="Arial" w:cs="Arial"/>
                <w:b/>
                <w:lang w:val="en-SG"/>
              </w:rPr>
            </w:pPr>
          </w:p>
        </w:tc>
        <w:tc>
          <w:tcPr>
            <w:tcW w:w="1265" w:type="dxa"/>
            <w:shd w:val="clear" w:color="auto" w:fill="E7E6E6" w:themeFill="background2"/>
          </w:tcPr>
          <w:p w14:paraId="1C58EA80" w14:textId="747B532D" w:rsidR="00D63155" w:rsidRPr="0024383C" w:rsidRDefault="0024383C" w:rsidP="0024383C">
            <w:pPr>
              <w:autoSpaceDE w:val="0"/>
              <w:autoSpaceDN w:val="0"/>
              <w:adjustRightInd w:val="0"/>
              <w:jc w:val="center"/>
              <w:rPr>
                <w:rFonts w:ascii="Arial" w:hAnsi="Arial" w:cs="Arial"/>
                <w:b/>
                <w:lang w:val="en-SG"/>
              </w:rPr>
            </w:pPr>
            <w:r w:rsidRPr="0024383C">
              <w:rPr>
                <w:rFonts w:ascii="Arial" w:hAnsi="Arial" w:cs="Arial"/>
                <w:b/>
                <w:lang w:val="en-SG"/>
              </w:rPr>
              <w:t>2000</w:t>
            </w:r>
          </w:p>
        </w:tc>
        <w:tc>
          <w:tcPr>
            <w:tcW w:w="1265" w:type="dxa"/>
            <w:shd w:val="clear" w:color="auto" w:fill="E7E6E6" w:themeFill="background2"/>
          </w:tcPr>
          <w:p w14:paraId="1A28EA33" w14:textId="428E2DB5" w:rsidR="00D63155" w:rsidRPr="0024383C" w:rsidRDefault="0024383C" w:rsidP="0024383C">
            <w:pPr>
              <w:autoSpaceDE w:val="0"/>
              <w:autoSpaceDN w:val="0"/>
              <w:adjustRightInd w:val="0"/>
              <w:jc w:val="center"/>
              <w:rPr>
                <w:rFonts w:ascii="Arial" w:hAnsi="Arial" w:cs="Arial"/>
                <w:b/>
                <w:lang w:val="en-SG"/>
              </w:rPr>
            </w:pPr>
            <w:r w:rsidRPr="0024383C">
              <w:rPr>
                <w:rFonts w:ascii="Arial" w:hAnsi="Arial" w:cs="Arial"/>
                <w:b/>
                <w:lang w:val="en-SG"/>
              </w:rPr>
              <w:t>2005</w:t>
            </w:r>
          </w:p>
        </w:tc>
        <w:tc>
          <w:tcPr>
            <w:tcW w:w="1265" w:type="dxa"/>
            <w:shd w:val="clear" w:color="auto" w:fill="E7E6E6" w:themeFill="background2"/>
          </w:tcPr>
          <w:p w14:paraId="2EAD54C2" w14:textId="1EE12170" w:rsidR="00D63155" w:rsidRPr="0024383C" w:rsidRDefault="0024383C" w:rsidP="0024383C">
            <w:pPr>
              <w:autoSpaceDE w:val="0"/>
              <w:autoSpaceDN w:val="0"/>
              <w:adjustRightInd w:val="0"/>
              <w:jc w:val="center"/>
              <w:rPr>
                <w:rFonts w:ascii="Arial" w:hAnsi="Arial" w:cs="Arial"/>
                <w:b/>
                <w:lang w:val="en-SG"/>
              </w:rPr>
            </w:pPr>
            <w:r w:rsidRPr="0024383C">
              <w:rPr>
                <w:rFonts w:ascii="Arial" w:hAnsi="Arial" w:cs="Arial"/>
                <w:b/>
                <w:lang w:val="en-SG"/>
              </w:rPr>
              <w:t>2010</w:t>
            </w:r>
          </w:p>
        </w:tc>
        <w:tc>
          <w:tcPr>
            <w:tcW w:w="1266" w:type="dxa"/>
            <w:shd w:val="clear" w:color="auto" w:fill="E7E6E6" w:themeFill="background2"/>
          </w:tcPr>
          <w:p w14:paraId="4A997316" w14:textId="6DCE7DB7" w:rsidR="00D63155" w:rsidRPr="0024383C" w:rsidRDefault="0024383C" w:rsidP="0024383C">
            <w:pPr>
              <w:autoSpaceDE w:val="0"/>
              <w:autoSpaceDN w:val="0"/>
              <w:adjustRightInd w:val="0"/>
              <w:jc w:val="center"/>
              <w:rPr>
                <w:rFonts w:ascii="Arial" w:hAnsi="Arial" w:cs="Arial"/>
                <w:b/>
                <w:lang w:val="en-SG"/>
              </w:rPr>
            </w:pPr>
            <w:r w:rsidRPr="0024383C">
              <w:rPr>
                <w:rFonts w:ascii="Arial" w:hAnsi="Arial" w:cs="Arial"/>
                <w:b/>
                <w:lang w:val="en-SG"/>
              </w:rPr>
              <w:t>2014</w:t>
            </w:r>
          </w:p>
        </w:tc>
      </w:tr>
      <w:tr w:rsidR="00D63155" w14:paraId="0ADD3F27" w14:textId="77777777" w:rsidTr="0024383C">
        <w:tc>
          <w:tcPr>
            <w:tcW w:w="3955" w:type="dxa"/>
          </w:tcPr>
          <w:p w14:paraId="01D5D76E" w14:textId="22335E5F" w:rsidR="00D63155" w:rsidRDefault="0024383C" w:rsidP="008059EB">
            <w:pPr>
              <w:autoSpaceDE w:val="0"/>
              <w:autoSpaceDN w:val="0"/>
              <w:adjustRightInd w:val="0"/>
              <w:jc w:val="both"/>
              <w:rPr>
                <w:rFonts w:ascii="Arial" w:hAnsi="Arial" w:cs="Arial"/>
                <w:lang w:val="en-SG"/>
              </w:rPr>
            </w:pPr>
            <w:r>
              <w:rPr>
                <w:rFonts w:ascii="Arial" w:hAnsi="Arial" w:cs="Arial"/>
                <w:lang w:val="en-SG"/>
              </w:rPr>
              <w:t>p</w:t>
            </w:r>
            <w:r w:rsidR="00D63155">
              <w:rPr>
                <w:rFonts w:ascii="Arial" w:hAnsi="Arial" w:cs="Arial"/>
                <w:lang w:val="en-SG"/>
              </w:rPr>
              <w:t>opulation (million</w:t>
            </w:r>
            <w:r>
              <w:rPr>
                <w:rFonts w:ascii="Arial" w:hAnsi="Arial" w:cs="Arial"/>
                <w:lang w:val="en-SG"/>
              </w:rPr>
              <w:t>s</w:t>
            </w:r>
            <w:r w:rsidR="00D63155">
              <w:rPr>
                <w:rFonts w:ascii="Arial" w:hAnsi="Arial" w:cs="Arial"/>
                <w:lang w:val="en-SG"/>
              </w:rPr>
              <w:t>)</w:t>
            </w:r>
          </w:p>
        </w:tc>
        <w:tc>
          <w:tcPr>
            <w:tcW w:w="1265" w:type="dxa"/>
          </w:tcPr>
          <w:p w14:paraId="03B64CD7" w14:textId="6B7C23EE" w:rsidR="00D63155" w:rsidRDefault="0024383C" w:rsidP="0024383C">
            <w:pPr>
              <w:autoSpaceDE w:val="0"/>
              <w:autoSpaceDN w:val="0"/>
              <w:adjustRightInd w:val="0"/>
              <w:jc w:val="center"/>
              <w:rPr>
                <w:rFonts w:ascii="Arial" w:hAnsi="Arial" w:cs="Arial"/>
                <w:lang w:val="en-SG"/>
              </w:rPr>
            </w:pPr>
            <w:r>
              <w:rPr>
                <w:rFonts w:ascii="Arial" w:hAnsi="Arial" w:cs="Arial"/>
                <w:lang w:val="en-SG"/>
              </w:rPr>
              <w:t>131.3</w:t>
            </w:r>
          </w:p>
        </w:tc>
        <w:tc>
          <w:tcPr>
            <w:tcW w:w="1265" w:type="dxa"/>
          </w:tcPr>
          <w:p w14:paraId="03AE783A" w14:textId="04A1910C" w:rsidR="00D63155" w:rsidRDefault="0024383C" w:rsidP="0024383C">
            <w:pPr>
              <w:autoSpaceDE w:val="0"/>
              <w:autoSpaceDN w:val="0"/>
              <w:adjustRightInd w:val="0"/>
              <w:jc w:val="center"/>
              <w:rPr>
                <w:rFonts w:ascii="Arial" w:hAnsi="Arial" w:cs="Arial"/>
                <w:lang w:val="en-SG"/>
              </w:rPr>
            </w:pPr>
            <w:r>
              <w:rPr>
                <w:rFonts w:ascii="Arial" w:hAnsi="Arial" w:cs="Arial"/>
                <w:lang w:val="en-SG"/>
              </w:rPr>
              <w:t>142.9</w:t>
            </w:r>
          </w:p>
        </w:tc>
        <w:tc>
          <w:tcPr>
            <w:tcW w:w="1265" w:type="dxa"/>
          </w:tcPr>
          <w:p w14:paraId="5747024E" w14:textId="5220BB9F" w:rsidR="00D63155" w:rsidRDefault="0024383C" w:rsidP="0024383C">
            <w:pPr>
              <w:autoSpaceDE w:val="0"/>
              <w:autoSpaceDN w:val="0"/>
              <w:adjustRightInd w:val="0"/>
              <w:jc w:val="center"/>
              <w:rPr>
                <w:rFonts w:ascii="Arial" w:hAnsi="Arial" w:cs="Arial"/>
                <w:lang w:val="en-SG"/>
              </w:rPr>
            </w:pPr>
            <w:r>
              <w:rPr>
                <w:rFonts w:ascii="Arial" w:hAnsi="Arial" w:cs="Arial"/>
                <w:lang w:val="en-SG"/>
              </w:rPr>
              <w:t>151.6</w:t>
            </w:r>
          </w:p>
        </w:tc>
        <w:tc>
          <w:tcPr>
            <w:tcW w:w="1266" w:type="dxa"/>
          </w:tcPr>
          <w:p w14:paraId="5A305297" w14:textId="2337DC25" w:rsidR="00D63155" w:rsidRDefault="0024383C" w:rsidP="0024383C">
            <w:pPr>
              <w:autoSpaceDE w:val="0"/>
              <w:autoSpaceDN w:val="0"/>
              <w:adjustRightInd w:val="0"/>
              <w:jc w:val="center"/>
              <w:rPr>
                <w:rFonts w:ascii="Arial" w:hAnsi="Arial" w:cs="Arial"/>
                <w:lang w:val="en-SG"/>
              </w:rPr>
            </w:pPr>
            <w:r>
              <w:rPr>
                <w:rFonts w:ascii="Arial" w:hAnsi="Arial" w:cs="Arial"/>
                <w:lang w:val="en-SG"/>
              </w:rPr>
              <w:t>159.1</w:t>
            </w:r>
          </w:p>
        </w:tc>
      </w:tr>
      <w:tr w:rsidR="00D63155" w14:paraId="77BCB211" w14:textId="77777777" w:rsidTr="0024383C">
        <w:tc>
          <w:tcPr>
            <w:tcW w:w="3955" w:type="dxa"/>
          </w:tcPr>
          <w:p w14:paraId="64CC7BE7" w14:textId="48357900" w:rsidR="00D63155" w:rsidRDefault="00D63155" w:rsidP="008059EB">
            <w:pPr>
              <w:autoSpaceDE w:val="0"/>
              <w:autoSpaceDN w:val="0"/>
              <w:adjustRightInd w:val="0"/>
              <w:jc w:val="both"/>
              <w:rPr>
                <w:rFonts w:ascii="Arial" w:hAnsi="Arial" w:cs="Arial"/>
                <w:lang w:val="en-SG"/>
              </w:rPr>
            </w:pPr>
            <w:r>
              <w:rPr>
                <w:rFonts w:ascii="Arial" w:hAnsi="Arial" w:cs="Arial"/>
                <w:lang w:val="en-SG"/>
              </w:rPr>
              <w:t>real GDP (US $billion)</w:t>
            </w:r>
          </w:p>
        </w:tc>
        <w:tc>
          <w:tcPr>
            <w:tcW w:w="1265" w:type="dxa"/>
          </w:tcPr>
          <w:p w14:paraId="13BA4ABA" w14:textId="24C1A036" w:rsidR="00D63155" w:rsidRDefault="0024383C" w:rsidP="0024383C">
            <w:pPr>
              <w:autoSpaceDE w:val="0"/>
              <w:autoSpaceDN w:val="0"/>
              <w:adjustRightInd w:val="0"/>
              <w:jc w:val="center"/>
              <w:rPr>
                <w:rFonts w:ascii="Arial" w:hAnsi="Arial" w:cs="Arial"/>
                <w:lang w:val="en-SG"/>
              </w:rPr>
            </w:pPr>
            <w:r>
              <w:rPr>
                <w:rFonts w:ascii="Arial" w:hAnsi="Arial" w:cs="Arial"/>
                <w:lang w:val="en-SG"/>
              </w:rPr>
              <w:t>44.2</w:t>
            </w:r>
          </w:p>
        </w:tc>
        <w:tc>
          <w:tcPr>
            <w:tcW w:w="1265" w:type="dxa"/>
          </w:tcPr>
          <w:p w14:paraId="6CD17412" w14:textId="7EB4DBF6" w:rsidR="00D63155" w:rsidRDefault="0024383C" w:rsidP="0024383C">
            <w:pPr>
              <w:autoSpaceDE w:val="0"/>
              <w:autoSpaceDN w:val="0"/>
              <w:adjustRightInd w:val="0"/>
              <w:jc w:val="center"/>
              <w:rPr>
                <w:rFonts w:ascii="Arial" w:hAnsi="Arial" w:cs="Arial"/>
                <w:lang w:val="en-SG"/>
              </w:rPr>
            </w:pPr>
            <w:r>
              <w:rPr>
                <w:rFonts w:ascii="Arial" w:hAnsi="Arial" w:cs="Arial"/>
                <w:lang w:val="en-SG"/>
              </w:rPr>
              <w:t>57.6</w:t>
            </w:r>
          </w:p>
        </w:tc>
        <w:tc>
          <w:tcPr>
            <w:tcW w:w="1265" w:type="dxa"/>
          </w:tcPr>
          <w:p w14:paraId="3A5EC0B7" w14:textId="72A172EB" w:rsidR="00D63155" w:rsidRDefault="0024383C" w:rsidP="0024383C">
            <w:pPr>
              <w:autoSpaceDE w:val="0"/>
              <w:autoSpaceDN w:val="0"/>
              <w:adjustRightInd w:val="0"/>
              <w:jc w:val="center"/>
              <w:rPr>
                <w:rFonts w:ascii="Arial" w:hAnsi="Arial" w:cs="Arial"/>
                <w:lang w:val="en-SG"/>
              </w:rPr>
            </w:pPr>
            <w:r>
              <w:rPr>
                <w:rFonts w:ascii="Arial" w:hAnsi="Arial" w:cs="Arial"/>
                <w:lang w:val="en-SG"/>
              </w:rPr>
              <w:t>77.3</w:t>
            </w:r>
          </w:p>
        </w:tc>
        <w:tc>
          <w:tcPr>
            <w:tcW w:w="1266" w:type="dxa"/>
          </w:tcPr>
          <w:p w14:paraId="6013EECA" w14:textId="16F00483" w:rsidR="00D63155" w:rsidRDefault="0024383C" w:rsidP="0024383C">
            <w:pPr>
              <w:autoSpaceDE w:val="0"/>
              <w:autoSpaceDN w:val="0"/>
              <w:adjustRightInd w:val="0"/>
              <w:jc w:val="center"/>
              <w:rPr>
                <w:rFonts w:ascii="Arial" w:hAnsi="Arial" w:cs="Arial"/>
                <w:lang w:val="en-SG"/>
              </w:rPr>
            </w:pPr>
            <w:r>
              <w:rPr>
                <w:rFonts w:ascii="Arial" w:hAnsi="Arial" w:cs="Arial"/>
                <w:lang w:val="en-SG"/>
              </w:rPr>
              <w:t>98.6</w:t>
            </w:r>
          </w:p>
        </w:tc>
      </w:tr>
      <w:tr w:rsidR="00D63155" w14:paraId="29EEBDA6" w14:textId="77777777" w:rsidTr="0024383C">
        <w:tc>
          <w:tcPr>
            <w:tcW w:w="3955" w:type="dxa"/>
          </w:tcPr>
          <w:p w14:paraId="31BD4A08" w14:textId="77777777" w:rsidR="00D63155" w:rsidRDefault="0024383C" w:rsidP="008059EB">
            <w:pPr>
              <w:autoSpaceDE w:val="0"/>
              <w:autoSpaceDN w:val="0"/>
              <w:adjustRightInd w:val="0"/>
              <w:jc w:val="both"/>
              <w:rPr>
                <w:rFonts w:ascii="Arial" w:hAnsi="Arial" w:cs="Arial"/>
                <w:lang w:val="en-SG"/>
              </w:rPr>
            </w:pPr>
            <w:r>
              <w:rPr>
                <w:rFonts w:ascii="Arial" w:hAnsi="Arial" w:cs="Arial"/>
                <w:lang w:val="en-SG"/>
              </w:rPr>
              <w:t>inflation rate</w:t>
            </w:r>
          </w:p>
          <w:p w14:paraId="1D082B97" w14:textId="7B16D88C" w:rsidR="0024383C" w:rsidRDefault="0024383C" w:rsidP="008059EB">
            <w:pPr>
              <w:autoSpaceDE w:val="0"/>
              <w:autoSpaceDN w:val="0"/>
              <w:adjustRightInd w:val="0"/>
              <w:jc w:val="both"/>
              <w:rPr>
                <w:rFonts w:ascii="Arial" w:hAnsi="Arial" w:cs="Arial"/>
                <w:lang w:val="en-SG"/>
              </w:rPr>
            </w:pPr>
            <w:r>
              <w:rPr>
                <w:rFonts w:ascii="Arial" w:hAnsi="Arial" w:cs="Arial"/>
                <w:lang w:val="en-SG"/>
              </w:rPr>
              <w:t>(% change in Consumer Price Index (CPI) per annum)</w:t>
            </w:r>
          </w:p>
        </w:tc>
        <w:tc>
          <w:tcPr>
            <w:tcW w:w="1265" w:type="dxa"/>
          </w:tcPr>
          <w:p w14:paraId="5D7D0B9B" w14:textId="371C5E34" w:rsidR="00D63155" w:rsidRDefault="0024383C" w:rsidP="0024383C">
            <w:pPr>
              <w:autoSpaceDE w:val="0"/>
              <w:autoSpaceDN w:val="0"/>
              <w:adjustRightInd w:val="0"/>
              <w:jc w:val="center"/>
              <w:rPr>
                <w:rFonts w:ascii="Arial" w:hAnsi="Arial" w:cs="Arial"/>
                <w:lang w:val="en-SG"/>
              </w:rPr>
            </w:pPr>
            <w:r>
              <w:rPr>
                <w:rFonts w:ascii="Arial" w:hAnsi="Arial" w:cs="Arial"/>
                <w:lang w:val="en-SG"/>
              </w:rPr>
              <w:t>2.2</w:t>
            </w:r>
          </w:p>
        </w:tc>
        <w:tc>
          <w:tcPr>
            <w:tcW w:w="1265" w:type="dxa"/>
          </w:tcPr>
          <w:p w14:paraId="21332BA7" w14:textId="46F99D0B" w:rsidR="00D63155" w:rsidRDefault="0024383C" w:rsidP="0024383C">
            <w:pPr>
              <w:autoSpaceDE w:val="0"/>
              <w:autoSpaceDN w:val="0"/>
              <w:adjustRightInd w:val="0"/>
              <w:jc w:val="center"/>
              <w:rPr>
                <w:rFonts w:ascii="Arial" w:hAnsi="Arial" w:cs="Arial"/>
                <w:lang w:val="en-SG"/>
              </w:rPr>
            </w:pPr>
            <w:r>
              <w:rPr>
                <w:rFonts w:ascii="Arial" w:hAnsi="Arial" w:cs="Arial"/>
                <w:lang w:val="en-SG"/>
              </w:rPr>
              <w:t>7.0</w:t>
            </w:r>
          </w:p>
        </w:tc>
        <w:tc>
          <w:tcPr>
            <w:tcW w:w="1265" w:type="dxa"/>
          </w:tcPr>
          <w:p w14:paraId="431E6030" w14:textId="152E399F" w:rsidR="00D63155" w:rsidRDefault="0024383C" w:rsidP="0024383C">
            <w:pPr>
              <w:autoSpaceDE w:val="0"/>
              <w:autoSpaceDN w:val="0"/>
              <w:adjustRightInd w:val="0"/>
              <w:jc w:val="center"/>
              <w:rPr>
                <w:rFonts w:ascii="Arial" w:hAnsi="Arial" w:cs="Arial"/>
                <w:lang w:val="en-SG"/>
              </w:rPr>
            </w:pPr>
            <w:r>
              <w:rPr>
                <w:rFonts w:ascii="Arial" w:hAnsi="Arial" w:cs="Arial"/>
                <w:lang w:val="en-SG"/>
              </w:rPr>
              <w:t>8.1</w:t>
            </w:r>
          </w:p>
        </w:tc>
        <w:tc>
          <w:tcPr>
            <w:tcW w:w="1266" w:type="dxa"/>
          </w:tcPr>
          <w:p w14:paraId="7F5CE5F4" w14:textId="79B3AF4B" w:rsidR="00D63155" w:rsidRDefault="0024383C" w:rsidP="0024383C">
            <w:pPr>
              <w:autoSpaceDE w:val="0"/>
              <w:autoSpaceDN w:val="0"/>
              <w:adjustRightInd w:val="0"/>
              <w:jc w:val="center"/>
              <w:rPr>
                <w:rFonts w:ascii="Arial" w:hAnsi="Arial" w:cs="Arial"/>
                <w:lang w:val="en-SG"/>
              </w:rPr>
            </w:pPr>
            <w:r>
              <w:rPr>
                <w:rFonts w:ascii="Arial" w:hAnsi="Arial" w:cs="Arial"/>
                <w:lang w:val="en-SG"/>
              </w:rPr>
              <w:t>7.0</w:t>
            </w:r>
          </w:p>
        </w:tc>
      </w:tr>
      <w:tr w:rsidR="00D63155" w14:paraId="72B7B098" w14:textId="77777777" w:rsidTr="0024383C">
        <w:tc>
          <w:tcPr>
            <w:tcW w:w="3955" w:type="dxa"/>
          </w:tcPr>
          <w:p w14:paraId="46EE5475" w14:textId="1C210138" w:rsidR="00D63155" w:rsidRDefault="0024383C" w:rsidP="008059EB">
            <w:pPr>
              <w:autoSpaceDE w:val="0"/>
              <w:autoSpaceDN w:val="0"/>
              <w:adjustRightInd w:val="0"/>
              <w:jc w:val="both"/>
              <w:rPr>
                <w:rFonts w:ascii="Arial" w:hAnsi="Arial" w:cs="Arial"/>
                <w:lang w:val="en-SG"/>
              </w:rPr>
            </w:pPr>
            <w:r>
              <w:rPr>
                <w:rFonts w:ascii="Arial" w:hAnsi="Arial" w:cs="Arial"/>
                <w:lang w:val="en-SG"/>
              </w:rPr>
              <w:t>fiscal balance (government budget balance) (US $million)</w:t>
            </w:r>
          </w:p>
        </w:tc>
        <w:tc>
          <w:tcPr>
            <w:tcW w:w="1265" w:type="dxa"/>
          </w:tcPr>
          <w:p w14:paraId="402AED76" w14:textId="3C7F679B" w:rsidR="00D63155" w:rsidRDefault="0024383C" w:rsidP="0024383C">
            <w:pPr>
              <w:autoSpaceDE w:val="0"/>
              <w:autoSpaceDN w:val="0"/>
              <w:adjustRightInd w:val="0"/>
              <w:jc w:val="center"/>
              <w:rPr>
                <w:rFonts w:ascii="Arial" w:hAnsi="Arial" w:cs="Arial"/>
                <w:lang w:val="en-SG"/>
              </w:rPr>
            </w:pPr>
            <w:r>
              <w:rPr>
                <w:rFonts w:ascii="Arial" w:hAnsi="Arial" w:cs="Arial"/>
                <w:lang w:val="en-SG"/>
              </w:rPr>
              <w:t>-2058</w:t>
            </w:r>
          </w:p>
        </w:tc>
        <w:tc>
          <w:tcPr>
            <w:tcW w:w="1265" w:type="dxa"/>
          </w:tcPr>
          <w:p w14:paraId="49E4A35B" w14:textId="2C30F6A3" w:rsidR="00D63155" w:rsidRDefault="0024383C" w:rsidP="0024383C">
            <w:pPr>
              <w:autoSpaceDE w:val="0"/>
              <w:autoSpaceDN w:val="0"/>
              <w:adjustRightInd w:val="0"/>
              <w:jc w:val="center"/>
              <w:rPr>
                <w:rFonts w:ascii="Arial" w:hAnsi="Arial" w:cs="Arial"/>
                <w:lang w:val="en-SG"/>
              </w:rPr>
            </w:pPr>
            <w:r>
              <w:rPr>
                <w:rFonts w:ascii="Arial" w:hAnsi="Arial" w:cs="Arial"/>
                <w:lang w:val="en-SG"/>
              </w:rPr>
              <w:t>-2144</w:t>
            </w:r>
          </w:p>
        </w:tc>
        <w:tc>
          <w:tcPr>
            <w:tcW w:w="1265" w:type="dxa"/>
          </w:tcPr>
          <w:p w14:paraId="635BAB94" w14:textId="1729899F" w:rsidR="00D63155" w:rsidRDefault="0024383C" w:rsidP="0024383C">
            <w:pPr>
              <w:autoSpaceDE w:val="0"/>
              <w:autoSpaceDN w:val="0"/>
              <w:adjustRightInd w:val="0"/>
              <w:jc w:val="center"/>
              <w:rPr>
                <w:rFonts w:ascii="Arial" w:hAnsi="Arial" w:cs="Arial"/>
                <w:lang w:val="en-SG"/>
              </w:rPr>
            </w:pPr>
            <w:r>
              <w:rPr>
                <w:rFonts w:ascii="Arial" w:hAnsi="Arial" w:cs="Arial"/>
                <w:lang w:val="en-SG"/>
              </w:rPr>
              <w:t>-3214</w:t>
            </w:r>
          </w:p>
        </w:tc>
        <w:tc>
          <w:tcPr>
            <w:tcW w:w="1266" w:type="dxa"/>
          </w:tcPr>
          <w:p w14:paraId="4ED23E95" w14:textId="36F92624" w:rsidR="00D63155" w:rsidRDefault="0024383C" w:rsidP="0024383C">
            <w:pPr>
              <w:autoSpaceDE w:val="0"/>
              <w:autoSpaceDN w:val="0"/>
              <w:adjustRightInd w:val="0"/>
              <w:jc w:val="center"/>
              <w:rPr>
                <w:rFonts w:ascii="Arial" w:hAnsi="Arial" w:cs="Arial"/>
                <w:lang w:val="en-SG"/>
              </w:rPr>
            </w:pPr>
            <w:r>
              <w:rPr>
                <w:rFonts w:ascii="Arial" w:hAnsi="Arial" w:cs="Arial"/>
                <w:lang w:val="en-SG"/>
              </w:rPr>
              <w:t>-5342</w:t>
            </w:r>
          </w:p>
        </w:tc>
      </w:tr>
      <w:tr w:rsidR="00D63155" w14:paraId="25D30BC1" w14:textId="77777777" w:rsidTr="0024383C">
        <w:tc>
          <w:tcPr>
            <w:tcW w:w="3955" w:type="dxa"/>
          </w:tcPr>
          <w:p w14:paraId="26BB5A8C" w14:textId="77777777" w:rsidR="00D63155" w:rsidRDefault="004D2C75" w:rsidP="008059EB">
            <w:pPr>
              <w:autoSpaceDE w:val="0"/>
              <w:autoSpaceDN w:val="0"/>
              <w:adjustRightInd w:val="0"/>
              <w:jc w:val="both"/>
              <w:rPr>
                <w:rFonts w:ascii="Arial" w:hAnsi="Arial" w:cs="Arial"/>
                <w:lang w:val="en-SG"/>
              </w:rPr>
            </w:pPr>
            <w:r>
              <w:rPr>
                <w:rFonts w:ascii="Arial" w:hAnsi="Arial" w:cs="Arial"/>
                <w:lang w:val="en-SG"/>
              </w:rPr>
              <w:t xml:space="preserve">Current account balance </w:t>
            </w:r>
          </w:p>
          <w:p w14:paraId="0BFEA897" w14:textId="4D52CFA2" w:rsidR="004D2C75" w:rsidRDefault="004D2C75" w:rsidP="008059EB">
            <w:pPr>
              <w:autoSpaceDE w:val="0"/>
              <w:autoSpaceDN w:val="0"/>
              <w:adjustRightInd w:val="0"/>
              <w:jc w:val="both"/>
              <w:rPr>
                <w:rFonts w:ascii="Arial" w:hAnsi="Arial" w:cs="Arial"/>
                <w:lang w:val="en-SG"/>
              </w:rPr>
            </w:pPr>
            <w:r>
              <w:rPr>
                <w:rFonts w:ascii="Arial" w:hAnsi="Arial" w:cs="Arial"/>
                <w:lang w:val="en-SG"/>
              </w:rPr>
              <w:t>(US $million)</w:t>
            </w:r>
          </w:p>
        </w:tc>
        <w:tc>
          <w:tcPr>
            <w:tcW w:w="1265" w:type="dxa"/>
          </w:tcPr>
          <w:p w14:paraId="43965596" w14:textId="473003FD" w:rsidR="00D63155" w:rsidRDefault="0024383C" w:rsidP="0024383C">
            <w:pPr>
              <w:autoSpaceDE w:val="0"/>
              <w:autoSpaceDN w:val="0"/>
              <w:adjustRightInd w:val="0"/>
              <w:jc w:val="center"/>
              <w:rPr>
                <w:rFonts w:ascii="Arial" w:hAnsi="Arial" w:cs="Arial"/>
                <w:lang w:val="en-SG"/>
              </w:rPr>
            </w:pPr>
            <w:r>
              <w:rPr>
                <w:rFonts w:ascii="Arial" w:hAnsi="Arial" w:cs="Arial"/>
                <w:lang w:val="en-SG"/>
              </w:rPr>
              <w:t>-418</w:t>
            </w:r>
          </w:p>
        </w:tc>
        <w:tc>
          <w:tcPr>
            <w:tcW w:w="1265" w:type="dxa"/>
          </w:tcPr>
          <w:p w14:paraId="795E4630" w14:textId="14E18312" w:rsidR="00D63155" w:rsidRDefault="0024383C" w:rsidP="0024383C">
            <w:pPr>
              <w:autoSpaceDE w:val="0"/>
              <w:autoSpaceDN w:val="0"/>
              <w:adjustRightInd w:val="0"/>
              <w:jc w:val="center"/>
              <w:rPr>
                <w:rFonts w:ascii="Arial" w:hAnsi="Arial" w:cs="Arial"/>
                <w:lang w:val="en-SG"/>
              </w:rPr>
            </w:pPr>
            <w:r>
              <w:rPr>
                <w:rFonts w:ascii="Arial" w:hAnsi="Arial" w:cs="Arial"/>
                <w:lang w:val="en-SG"/>
              </w:rPr>
              <w:t>-557</w:t>
            </w:r>
          </w:p>
        </w:tc>
        <w:tc>
          <w:tcPr>
            <w:tcW w:w="1265" w:type="dxa"/>
          </w:tcPr>
          <w:p w14:paraId="30B79274" w14:textId="7107E7B5" w:rsidR="00D63155" w:rsidRDefault="0024383C" w:rsidP="0024383C">
            <w:pPr>
              <w:autoSpaceDE w:val="0"/>
              <w:autoSpaceDN w:val="0"/>
              <w:adjustRightInd w:val="0"/>
              <w:jc w:val="center"/>
              <w:rPr>
                <w:rFonts w:ascii="Arial" w:hAnsi="Arial" w:cs="Arial"/>
                <w:lang w:val="en-SG"/>
              </w:rPr>
            </w:pPr>
            <w:r>
              <w:rPr>
                <w:rFonts w:ascii="Arial" w:hAnsi="Arial" w:cs="Arial"/>
                <w:lang w:val="en-SG"/>
              </w:rPr>
              <w:t>3724</w:t>
            </w:r>
          </w:p>
        </w:tc>
        <w:tc>
          <w:tcPr>
            <w:tcW w:w="1266" w:type="dxa"/>
          </w:tcPr>
          <w:p w14:paraId="0D7A3F17" w14:textId="6673B651" w:rsidR="00D63155" w:rsidRDefault="0024383C" w:rsidP="0024383C">
            <w:pPr>
              <w:autoSpaceDE w:val="0"/>
              <w:autoSpaceDN w:val="0"/>
              <w:adjustRightInd w:val="0"/>
              <w:jc w:val="center"/>
              <w:rPr>
                <w:rFonts w:ascii="Arial" w:hAnsi="Arial" w:cs="Arial"/>
                <w:lang w:val="en-SG"/>
              </w:rPr>
            </w:pPr>
            <w:r>
              <w:rPr>
                <w:rFonts w:ascii="Arial" w:hAnsi="Arial" w:cs="Arial"/>
                <w:lang w:val="en-SG"/>
              </w:rPr>
              <w:t>1547</w:t>
            </w:r>
          </w:p>
        </w:tc>
      </w:tr>
      <w:tr w:rsidR="00D63155" w14:paraId="676E3B11" w14:textId="77777777" w:rsidTr="0024383C">
        <w:tc>
          <w:tcPr>
            <w:tcW w:w="3955" w:type="dxa"/>
          </w:tcPr>
          <w:p w14:paraId="0BA760C9" w14:textId="77777777" w:rsidR="00D63155" w:rsidRDefault="004D2C75" w:rsidP="008059EB">
            <w:pPr>
              <w:autoSpaceDE w:val="0"/>
              <w:autoSpaceDN w:val="0"/>
              <w:adjustRightInd w:val="0"/>
              <w:jc w:val="both"/>
              <w:rPr>
                <w:rFonts w:ascii="Arial" w:hAnsi="Arial" w:cs="Arial"/>
                <w:lang w:val="en-SG"/>
              </w:rPr>
            </w:pPr>
            <w:r>
              <w:rPr>
                <w:rFonts w:ascii="Arial" w:hAnsi="Arial" w:cs="Arial"/>
                <w:lang w:val="en-SG"/>
              </w:rPr>
              <w:t>nominal exchange rate</w:t>
            </w:r>
            <w:r>
              <w:rPr>
                <w:rFonts w:ascii="Arial" w:hAnsi="Arial" w:cs="Arial"/>
                <w:vertAlign w:val="superscript"/>
                <w:lang w:val="en-SG"/>
              </w:rPr>
              <w:t>1</w:t>
            </w:r>
            <w:r>
              <w:rPr>
                <w:rFonts w:ascii="Arial" w:hAnsi="Arial" w:cs="Arial"/>
                <w:lang w:val="en-SG"/>
              </w:rPr>
              <w:t xml:space="preserve"> </w:t>
            </w:r>
          </w:p>
          <w:p w14:paraId="5BEBC75B" w14:textId="77777777" w:rsidR="004D2C75" w:rsidRDefault="004D2C75" w:rsidP="008059EB">
            <w:pPr>
              <w:autoSpaceDE w:val="0"/>
              <w:autoSpaceDN w:val="0"/>
              <w:adjustRightInd w:val="0"/>
              <w:jc w:val="both"/>
              <w:rPr>
                <w:rFonts w:ascii="Arial" w:hAnsi="Arial" w:cs="Arial"/>
                <w:lang w:val="en-SG"/>
              </w:rPr>
            </w:pPr>
            <w:r>
              <w:rPr>
                <w:rFonts w:ascii="Arial" w:hAnsi="Arial" w:cs="Arial"/>
                <w:lang w:val="en-SG"/>
              </w:rPr>
              <w:t>(Taka per US dollar)</w:t>
            </w:r>
          </w:p>
          <w:p w14:paraId="2C76C002" w14:textId="309EB6E0" w:rsidR="004D2C75" w:rsidRDefault="004D2C75" w:rsidP="008059EB">
            <w:pPr>
              <w:autoSpaceDE w:val="0"/>
              <w:autoSpaceDN w:val="0"/>
              <w:adjustRightInd w:val="0"/>
              <w:jc w:val="both"/>
              <w:rPr>
                <w:rFonts w:ascii="Arial" w:hAnsi="Arial" w:cs="Arial"/>
                <w:lang w:val="en-SG"/>
              </w:rPr>
            </w:pPr>
            <w:r>
              <w:rPr>
                <w:rFonts w:ascii="Arial" w:hAnsi="Arial" w:cs="Arial"/>
                <w:lang w:val="en-SG"/>
              </w:rPr>
              <w:t>(The Taka (Tk) is the currency of Bangladesh)</w:t>
            </w:r>
          </w:p>
        </w:tc>
        <w:tc>
          <w:tcPr>
            <w:tcW w:w="1265" w:type="dxa"/>
          </w:tcPr>
          <w:p w14:paraId="62B0DED9" w14:textId="624018BD" w:rsidR="00D63155" w:rsidRDefault="0024383C" w:rsidP="0024383C">
            <w:pPr>
              <w:autoSpaceDE w:val="0"/>
              <w:autoSpaceDN w:val="0"/>
              <w:adjustRightInd w:val="0"/>
              <w:jc w:val="center"/>
              <w:rPr>
                <w:rFonts w:ascii="Arial" w:hAnsi="Arial" w:cs="Arial"/>
                <w:lang w:val="en-SG"/>
              </w:rPr>
            </w:pPr>
            <w:r>
              <w:rPr>
                <w:rFonts w:ascii="Arial" w:hAnsi="Arial" w:cs="Arial"/>
                <w:lang w:val="en-SG"/>
              </w:rPr>
              <w:t>52.14</w:t>
            </w:r>
          </w:p>
        </w:tc>
        <w:tc>
          <w:tcPr>
            <w:tcW w:w="1265" w:type="dxa"/>
          </w:tcPr>
          <w:p w14:paraId="366207AB" w14:textId="29E0DEBF" w:rsidR="00D63155" w:rsidRDefault="0024383C" w:rsidP="0024383C">
            <w:pPr>
              <w:autoSpaceDE w:val="0"/>
              <w:autoSpaceDN w:val="0"/>
              <w:adjustRightInd w:val="0"/>
              <w:jc w:val="center"/>
              <w:rPr>
                <w:rFonts w:ascii="Arial" w:hAnsi="Arial" w:cs="Arial"/>
                <w:lang w:val="en-SG"/>
              </w:rPr>
            </w:pPr>
            <w:r>
              <w:rPr>
                <w:rFonts w:ascii="Arial" w:hAnsi="Arial" w:cs="Arial"/>
                <w:lang w:val="en-SG"/>
              </w:rPr>
              <w:t>64.33</w:t>
            </w:r>
          </w:p>
        </w:tc>
        <w:tc>
          <w:tcPr>
            <w:tcW w:w="1265" w:type="dxa"/>
          </w:tcPr>
          <w:p w14:paraId="69CD06FB" w14:textId="685ADFCB" w:rsidR="00D63155" w:rsidRDefault="0024383C" w:rsidP="0024383C">
            <w:pPr>
              <w:autoSpaceDE w:val="0"/>
              <w:autoSpaceDN w:val="0"/>
              <w:adjustRightInd w:val="0"/>
              <w:jc w:val="center"/>
              <w:rPr>
                <w:rFonts w:ascii="Arial" w:hAnsi="Arial" w:cs="Arial"/>
                <w:lang w:val="en-SG"/>
              </w:rPr>
            </w:pPr>
            <w:r>
              <w:rPr>
                <w:rFonts w:ascii="Arial" w:hAnsi="Arial" w:cs="Arial"/>
                <w:lang w:val="en-SG"/>
              </w:rPr>
              <w:t>69.65</w:t>
            </w:r>
          </w:p>
        </w:tc>
        <w:tc>
          <w:tcPr>
            <w:tcW w:w="1266" w:type="dxa"/>
          </w:tcPr>
          <w:p w14:paraId="7991BF8B" w14:textId="27C253BE" w:rsidR="00D63155" w:rsidRDefault="0024383C" w:rsidP="0024383C">
            <w:pPr>
              <w:autoSpaceDE w:val="0"/>
              <w:autoSpaceDN w:val="0"/>
              <w:adjustRightInd w:val="0"/>
              <w:jc w:val="center"/>
              <w:rPr>
                <w:rFonts w:ascii="Arial" w:hAnsi="Arial" w:cs="Arial"/>
                <w:lang w:val="en-SG"/>
              </w:rPr>
            </w:pPr>
            <w:r>
              <w:rPr>
                <w:rFonts w:ascii="Arial" w:hAnsi="Arial" w:cs="Arial"/>
                <w:lang w:val="en-SG"/>
              </w:rPr>
              <w:t>77.64</w:t>
            </w:r>
          </w:p>
        </w:tc>
      </w:tr>
      <w:tr w:rsidR="0024383C" w14:paraId="2ECFE61C" w14:textId="77777777" w:rsidTr="0024383C">
        <w:tc>
          <w:tcPr>
            <w:tcW w:w="3955" w:type="dxa"/>
          </w:tcPr>
          <w:p w14:paraId="1E73EB72" w14:textId="52646C7F" w:rsidR="0024383C" w:rsidRDefault="004D2C75" w:rsidP="008059EB">
            <w:pPr>
              <w:autoSpaceDE w:val="0"/>
              <w:autoSpaceDN w:val="0"/>
              <w:adjustRightInd w:val="0"/>
              <w:jc w:val="both"/>
              <w:rPr>
                <w:rFonts w:ascii="Arial" w:hAnsi="Arial" w:cs="Arial"/>
                <w:lang w:val="en-SG"/>
              </w:rPr>
            </w:pPr>
            <w:r>
              <w:rPr>
                <w:rFonts w:ascii="Arial" w:hAnsi="Arial" w:cs="Arial"/>
                <w:lang w:val="en-SG"/>
              </w:rPr>
              <w:t>Gini coefficient</w:t>
            </w:r>
          </w:p>
        </w:tc>
        <w:tc>
          <w:tcPr>
            <w:tcW w:w="1265" w:type="dxa"/>
          </w:tcPr>
          <w:p w14:paraId="601C3D78" w14:textId="0CE8FEBE" w:rsidR="0024383C" w:rsidRDefault="0024383C" w:rsidP="0024383C">
            <w:pPr>
              <w:autoSpaceDE w:val="0"/>
              <w:autoSpaceDN w:val="0"/>
              <w:adjustRightInd w:val="0"/>
              <w:jc w:val="center"/>
              <w:rPr>
                <w:rFonts w:ascii="Arial" w:hAnsi="Arial" w:cs="Arial"/>
                <w:lang w:val="en-SG"/>
              </w:rPr>
            </w:pPr>
            <w:r>
              <w:rPr>
                <w:rFonts w:ascii="Arial" w:hAnsi="Arial" w:cs="Arial"/>
                <w:lang w:val="en-SG"/>
              </w:rPr>
              <w:t>0.334</w:t>
            </w:r>
          </w:p>
        </w:tc>
        <w:tc>
          <w:tcPr>
            <w:tcW w:w="1265" w:type="dxa"/>
          </w:tcPr>
          <w:p w14:paraId="366F0241" w14:textId="50C29678" w:rsidR="0024383C" w:rsidRDefault="0024383C" w:rsidP="0024383C">
            <w:pPr>
              <w:autoSpaceDE w:val="0"/>
              <w:autoSpaceDN w:val="0"/>
              <w:adjustRightInd w:val="0"/>
              <w:jc w:val="center"/>
              <w:rPr>
                <w:rFonts w:ascii="Arial" w:hAnsi="Arial" w:cs="Arial"/>
                <w:lang w:val="en-SG"/>
              </w:rPr>
            </w:pPr>
            <w:r>
              <w:rPr>
                <w:rFonts w:ascii="Arial" w:hAnsi="Arial" w:cs="Arial"/>
                <w:lang w:val="en-SG"/>
              </w:rPr>
              <w:t>0.332</w:t>
            </w:r>
          </w:p>
        </w:tc>
        <w:tc>
          <w:tcPr>
            <w:tcW w:w="1265" w:type="dxa"/>
          </w:tcPr>
          <w:p w14:paraId="5BB65366" w14:textId="5367D142" w:rsidR="0024383C" w:rsidRDefault="0024383C" w:rsidP="0024383C">
            <w:pPr>
              <w:autoSpaceDE w:val="0"/>
              <w:autoSpaceDN w:val="0"/>
              <w:adjustRightInd w:val="0"/>
              <w:jc w:val="center"/>
              <w:rPr>
                <w:rFonts w:ascii="Arial" w:hAnsi="Arial" w:cs="Arial"/>
                <w:lang w:val="en-SG"/>
              </w:rPr>
            </w:pPr>
            <w:r>
              <w:rPr>
                <w:rFonts w:ascii="Arial" w:hAnsi="Arial" w:cs="Arial"/>
                <w:lang w:val="en-SG"/>
              </w:rPr>
              <w:t>0.321</w:t>
            </w:r>
          </w:p>
        </w:tc>
        <w:tc>
          <w:tcPr>
            <w:tcW w:w="1266" w:type="dxa"/>
          </w:tcPr>
          <w:p w14:paraId="7CAA5D72" w14:textId="5CBC2FC6" w:rsidR="0024383C" w:rsidRDefault="0024383C" w:rsidP="0024383C">
            <w:pPr>
              <w:autoSpaceDE w:val="0"/>
              <w:autoSpaceDN w:val="0"/>
              <w:adjustRightInd w:val="0"/>
              <w:jc w:val="center"/>
              <w:rPr>
                <w:rFonts w:ascii="Arial" w:hAnsi="Arial" w:cs="Arial"/>
                <w:lang w:val="en-SG"/>
              </w:rPr>
            </w:pPr>
            <w:r>
              <w:rPr>
                <w:rFonts w:ascii="Arial" w:hAnsi="Arial" w:cs="Arial"/>
                <w:lang w:val="en-SG"/>
              </w:rPr>
              <w:t>0.320</w:t>
            </w:r>
          </w:p>
        </w:tc>
      </w:tr>
    </w:tbl>
    <w:p w14:paraId="1B595B22" w14:textId="7CB7F3D7" w:rsidR="00D63155" w:rsidRDefault="00D63155" w:rsidP="008059EB">
      <w:pPr>
        <w:autoSpaceDE w:val="0"/>
        <w:autoSpaceDN w:val="0"/>
        <w:adjustRightInd w:val="0"/>
        <w:jc w:val="both"/>
        <w:rPr>
          <w:rFonts w:ascii="Arial" w:hAnsi="Arial" w:cs="Arial"/>
          <w:lang w:val="en-SG"/>
        </w:rPr>
      </w:pPr>
    </w:p>
    <w:p w14:paraId="3812762B" w14:textId="1850C8FA" w:rsidR="00D63155" w:rsidRPr="00D63155" w:rsidRDefault="00D63155" w:rsidP="008059EB">
      <w:pPr>
        <w:autoSpaceDE w:val="0"/>
        <w:autoSpaceDN w:val="0"/>
        <w:adjustRightInd w:val="0"/>
        <w:jc w:val="both"/>
        <w:rPr>
          <w:rFonts w:ascii="Arial" w:hAnsi="Arial" w:cs="Arial"/>
          <w:lang w:val="en-SG"/>
        </w:rPr>
      </w:pPr>
      <w:r>
        <w:rPr>
          <w:rFonts w:ascii="Arial" w:hAnsi="Arial" w:cs="Arial"/>
          <w:vertAlign w:val="superscript"/>
          <w:lang w:val="en-SG"/>
        </w:rPr>
        <w:t>1</w:t>
      </w:r>
      <w:r>
        <w:rPr>
          <w:rFonts w:ascii="Arial" w:hAnsi="Arial" w:cs="Arial"/>
          <w:lang w:val="en-SG"/>
        </w:rPr>
        <w:t xml:space="preserve"> The nominal exchange rate is the number of units of one currency that can be exchanged for one unit of the other currency.</w:t>
      </w:r>
    </w:p>
    <w:p w14:paraId="6FC892E3" w14:textId="77777777" w:rsidR="00D63155" w:rsidRDefault="00D63155" w:rsidP="008059EB">
      <w:pPr>
        <w:autoSpaceDE w:val="0"/>
        <w:autoSpaceDN w:val="0"/>
        <w:adjustRightInd w:val="0"/>
        <w:jc w:val="both"/>
        <w:rPr>
          <w:rFonts w:ascii="Arial" w:hAnsi="Arial" w:cs="Arial"/>
          <w:lang w:val="en-SG"/>
        </w:rPr>
      </w:pPr>
    </w:p>
    <w:p w14:paraId="3813B06F" w14:textId="71A3355A" w:rsidR="008059EB" w:rsidRDefault="00735AEF" w:rsidP="00735AEF">
      <w:pPr>
        <w:autoSpaceDE w:val="0"/>
        <w:autoSpaceDN w:val="0"/>
        <w:adjustRightInd w:val="0"/>
        <w:jc w:val="right"/>
        <w:rPr>
          <w:rFonts w:ascii="Arial" w:hAnsi="Arial" w:cs="Arial"/>
          <w:lang w:val="en-SG"/>
        </w:rPr>
      </w:pPr>
      <w:r>
        <w:rPr>
          <w:rFonts w:ascii="Arial" w:hAnsi="Arial" w:cs="Arial"/>
          <w:lang w:val="en-SG"/>
        </w:rPr>
        <w:t xml:space="preserve">Source: </w:t>
      </w:r>
      <w:r w:rsidR="00D63155">
        <w:rPr>
          <w:rFonts w:ascii="Arial" w:hAnsi="Arial" w:cs="Arial"/>
          <w:lang w:val="en-SG"/>
        </w:rPr>
        <w:t>Asian Development Bank, 2016</w:t>
      </w:r>
    </w:p>
    <w:p w14:paraId="1D42A925" w14:textId="08298BDE" w:rsidR="004D2C75" w:rsidRDefault="004D2C75" w:rsidP="00735AEF">
      <w:pPr>
        <w:autoSpaceDE w:val="0"/>
        <w:autoSpaceDN w:val="0"/>
        <w:adjustRightInd w:val="0"/>
        <w:jc w:val="right"/>
        <w:rPr>
          <w:rFonts w:ascii="Arial" w:hAnsi="Arial" w:cs="Arial"/>
          <w:b/>
          <w:lang w:val="en-SG"/>
        </w:rPr>
      </w:pPr>
    </w:p>
    <w:p w14:paraId="149E71A6" w14:textId="4B2D4E99" w:rsidR="004D2C75" w:rsidRPr="004D2C75" w:rsidRDefault="004D2C75" w:rsidP="004D2C75">
      <w:pPr>
        <w:autoSpaceDE w:val="0"/>
        <w:autoSpaceDN w:val="0"/>
        <w:adjustRightInd w:val="0"/>
        <w:jc w:val="center"/>
        <w:rPr>
          <w:rFonts w:ascii="Arial" w:hAnsi="Arial" w:cs="Arial"/>
          <w:b/>
          <w:lang w:val="en-SG"/>
        </w:rPr>
      </w:pPr>
      <w:r w:rsidRPr="004D2C75">
        <w:rPr>
          <w:rFonts w:ascii="Arial" w:hAnsi="Arial" w:cs="Arial"/>
          <w:b/>
          <w:lang w:val="en-SG"/>
        </w:rPr>
        <w:t>Table 2: Income elasticity of demand for electricity in selected countries</w:t>
      </w:r>
    </w:p>
    <w:p w14:paraId="242D2571" w14:textId="73021C11" w:rsidR="004D2C75" w:rsidRDefault="004D2C75" w:rsidP="004D2C75">
      <w:pPr>
        <w:autoSpaceDE w:val="0"/>
        <w:autoSpaceDN w:val="0"/>
        <w:adjustRightInd w:val="0"/>
        <w:jc w:val="both"/>
        <w:rPr>
          <w:rFonts w:ascii="Arial" w:hAnsi="Arial" w:cs="Arial"/>
          <w:lang w:val="en-SG"/>
        </w:rPr>
      </w:pPr>
    </w:p>
    <w:p w14:paraId="32FBA4F9" w14:textId="7186C0B2" w:rsidR="004D2C75" w:rsidRDefault="004D2C75" w:rsidP="004D2C75">
      <w:pPr>
        <w:autoSpaceDE w:val="0"/>
        <w:autoSpaceDN w:val="0"/>
        <w:adjustRightInd w:val="0"/>
        <w:jc w:val="both"/>
        <w:rPr>
          <w:rFonts w:ascii="Arial" w:hAnsi="Arial" w:cs="Arial"/>
          <w:lang w:val="en-SG"/>
        </w:rPr>
      </w:pPr>
      <w:r>
        <w:rPr>
          <w:rFonts w:ascii="Arial" w:hAnsi="Arial" w:cs="Arial"/>
          <w:lang w:val="en-SG"/>
        </w:rPr>
        <w:t>These elasticity values have been calculated by comparing Gross National Income (GNI) per person with electricity consumption per person over the period 1991 to 2010.</w:t>
      </w:r>
    </w:p>
    <w:p w14:paraId="599B6868" w14:textId="3A014A0E" w:rsidR="004D2C75" w:rsidRDefault="004D2C75" w:rsidP="004D2C75">
      <w:pPr>
        <w:autoSpaceDE w:val="0"/>
        <w:autoSpaceDN w:val="0"/>
        <w:adjustRightInd w:val="0"/>
        <w:jc w:val="both"/>
        <w:rPr>
          <w:rFonts w:ascii="Arial" w:hAnsi="Arial" w:cs="Arial"/>
          <w:lang w:val="en-SG"/>
        </w:rPr>
      </w:pPr>
    </w:p>
    <w:tbl>
      <w:tblPr>
        <w:tblStyle w:val="TableGrid"/>
        <w:tblW w:w="0" w:type="auto"/>
        <w:tblInd w:w="1435" w:type="dxa"/>
        <w:tblLook w:val="04A0" w:firstRow="1" w:lastRow="0" w:firstColumn="1" w:lastColumn="0" w:noHBand="0" w:noVBand="1"/>
      </w:tblPr>
      <w:tblGrid>
        <w:gridCol w:w="2070"/>
        <w:gridCol w:w="3510"/>
      </w:tblGrid>
      <w:tr w:rsidR="004D2C75" w14:paraId="1AEEDC34" w14:textId="77777777" w:rsidTr="004D2C75">
        <w:tc>
          <w:tcPr>
            <w:tcW w:w="2070" w:type="dxa"/>
            <w:shd w:val="clear" w:color="auto" w:fill="E7E6E6" w:themeFill="background2"/>
          </w:tcPr>
          <w:p w14:paraId="2726F4A6" w14:textId="0E616FB2" w:rsidR="004D2C75" w:rsidRPr="004D2C75" w:rsidRDefault="004D2C75" w:rsidP="004D2C75">
            <w:pPr>
              <w:autoSpaceDE w:val="0"/>
              <w:autoSpaceDN w:val="0"/>
              <w:adjustRightInd w:val="0"/>
              <w:jc w:val="center"/>
              <w:rPr>
                <w:rFonts w:ascii="Arial" w:hAnsi="Arial" w:cs="Arial"/>
                <w:b/>
                <w:lang w:val="en-SG"/>
              </w:rPr>
            </w:pPr>
            <w:r w:rsidRPr="004D2C75">
              <w:rPr>
                <w:rFonts w:ascii="Arial" w:hAnsi="Arial" w:cs="Arial"/>
                <w:b/>
                <w:lang w:val="en-SG"/>
              </w:rPr>
              <w:t>Country</w:t>
            </w:r>
          </w:p>
        </w:tc>
        <w:tc>
          <w:tcPr>
            <w:tcW w:w="3510" w:type="dxa"/>
            <w:shd w:val="clear" w:color="auto" w:fill="E7E6E6" w:themeFill="background2"/>
          </w:tcPr>
          <w:p w14:paraId="1C844F9C" w14:textId="2C8A4C3E" w:rsidR="004D2C75" w:rsidRPr="004D2C75" w:rsidRDefault="004D2C75" w:rsidP="004D2C75">
            <w:pPr>
              <w:autoSpaceDE w:val="0"/>
              <w:autoSpaceDN w:val="0"/>
              <w:adjustRightInd w:val="0"/>
              <w:jc w:val="center"/>
              <w:rPr>
                <w:rFonts w:ascii="Arial" w:hAnsi="Arial" w:cs="Arial"/>
                <w:b/>
                <w:lang w:val="en-SG"/>
              </w:rPr>
            </w:pPr>
            <w:r w:rsidRPr="004D2C75">
              <w:rPr>
                <w:rFonts w:ascii="Arial" w:hAnsi="Arial" w:cs="Arial"/>
                <w:b/>
                <w:lang w:val="en-SG"/>
              </w:rPr>
              <w:t>Income Elasticity of Demand</w:t>
            </w:r>
          </w:p>
        </w:tc>
      </w:tr>
      <w:tr w:rsidR="004D2C75" w14:paraId="7382D851" w14:textId="77777777" w:rsidTr="004D2C75">
        <w:tc>
          <w:tcPr>
            <w:tcW w:w="2070" w:type="dxa"/>
          </w:tcPr>
          <w:p w14:paraId="58828A23" w14:textId="629BB6A0" w:rsidR="004D2C75" w:rsidRDefault="004D2C75" w:rsidP="004D2C75">
            <w:pPr>
              <w:autoSpaceDE w:val="0"/>
              <w:autoSpaceDN w:val="0"/>
              <w:adjustRightInd w:val="0"/>
              <w:jc w:val="center"/>
              <w:rPr>
                <w:rFonts w:ascii="Arial" w:hAnsi="Arial" w:cs="Arial"/>
                <w:lang w:val="en-SG"/>
              </w:rPr>
            </w:pPr>
            <w:r>
              <w:rPr>
                <w:rFonts w:ascii="Arial" w:hAnsi="Arial" w:cs="Arial"/>
                <w:lang w:val="en-SG"/>
              </w:rPr>
              <w:t>Australia</w:t>
            </w:r>
          </w:p>
        </w:tc>
        <w:tc>
          <w:tcPr>
            <w:tcW w:w="3510" w:type="dxa"/>
          </w:tcPr>
          <w:p w14:paraId="22FA32FD" w14:textId="26A630C6" w:rsidR="004D2C75" w:rsidRDefault="004D2C75" w:rsidP="004D2C75">
            <w:pPr>
              <w:autoSpaceDE w:val="0"/>
              <w:autoSpaceDN w:val="0"/>
              <w:adjustRightInd w:val="0"/>
              <w:jc w:val="center"/>
              <w:rPr>
                <w:rFonts w:ascii="Arial" w:hAnsi="Arial" w:cs="Arial"/>
                <w:lang w:val="en-SG"/>
              </w:rPr>
            </w:pPr>
            <w:r>
              <w:rPr>
                <w:rFonts w:ascii="Arial" w:hAnsi="Arial" w:cs="Arial"/>
                <w:lang w:val="en-SG"/>
              </w:rPr>
              <w:t>0.60</w:t>
            </w:r>
          </w:p>
        </w:tc>
      </w:tr>
      <w:tr w:rsidR="004D2C75" w14:paraId="27784670" w14:textId="77777777" w:rsidTr="004D2C75">
        <w:tc>
          <w:tcPr>
            <w:tcW w:w="2070" w:type="dxa"/>
          </w:tcPr>
          <w:p w14:paraId="7DB19568" w14:textId="49265398" w:rsidR="004D2C75" w:rsidRDefault="004D2C75" w:rsidP="004D2C75">
            <w:pPr>
              <w:autoSpaceDE w:val="0"/>
              <w:autoSpaceDN w:val="0"/>
              <w:adjustRightInd w:val="0"/>
              <w:jc w:val="center"/>
              <w:rPr>
                <w:rFonts w:ascii="Arial" w:hAnsi="Arial" w:cs="Arial"/>
                <w:lang w:val="en-SG"/>
              </w:rPr>
            </w:pPr>
            <w:r>
              <w:rPr>
                <w:rFonts w:ascii="Arial" w:hAnsi="Arial" w:cs="Arial"/>
                <w:lang w:val="en-SG"/>
              </w:rPr>
              <w:t>Japan</w:t>
            </w:r>
          </w:p>
        </w:tc>
        <w:tc>
          <w:tcPr>
            <w:tcW w:w="3510" w:type="dxa"/>
          </w:tcPr>
          <w:p w14:paraId="20BDABE5" w14:textId="68952F99" w:rsidR="004D2C75" w:rsidRDefault="004D2C75" w:rsidP="004D2C75">
            <w:pPr>
              <w:autoSpaceDE w:val="0"/>
              <w:autoSpaceDN w:val="0"/>
              <w:adjustRightInd w:val="0"/>
              <w:jc w:val="center"/>
              <w:rPr>
                <w:rFonts w:ascii="Arial" w:hAnsi="Arial" w:cs="Arial"/>
                <w:lang w:val="en-SG"/>
              </w:rPr>
            </w:pPr>
            <w:r>
              <w:rPr>
                <w:rFonts w:ascii="Arial" w:hAnsi="Arial" w:cs="Arial"/>
                <w:lang w:val="en-SG"/>
              </w:rPr>
              <w:t>0.74</w:t>
            </w:r>
          </w:p>
        </w:tc>
      </w:tr>
      <w:tr w:rsidR="004D2C75" w14:paraId="5BA5E406" w14:textId="77777777" w:rsidTr="004D2C75">
        <w:tc>
          <w:tcPr>
            <w:tcW w:w="2070" w:type="dxa"/>
          </w:tcPr>
          <w:p w14:paraId="4C32ECC9" w14:textId="4532015A" w:rsidR="004D2C75" w:rsidRDefault="004D2C75" w:rsidP="004D2C75">
            <w:pPr>
              <w:autoSpaceDE w:val="0"/>
              <w:autoSpaceDN w:val="0"/>
              <w:adjustRightInd w:val="0"/>
              <w:jc w:val="center"/>
              <w:rPr>
                <w:rFonts w:ascii="Arial" w:hAnsi="Arial" w:cs="Arial"/>
                <w:lang w:val="en-SG"/>
              </w:rPr>
            </w:pPr>
            <w:r>
              <w:rPr>
                <w:rFonts w:ascii="Arial" w:hAnsi="Arial" w:cs="Arial"/>
                <w:lang w:val="en-SG"/>
              </w:rPr>
              <w:t>Bangladesh</w:t>
            </w:r>
          </w:p>
        </w:tc>
        <w:tc>
          <w:tcPr>
            <w:tcW w:w="3510" w:type="dxa"/>
          </w:tcPr>
          <w:p w14:paraId="58B2BA67" w14:textId="0A2DA898" w:rsidR="004D2C75" w:rsidRDefault="004D2C75" w:rsidP="004D2C75">
            <w:pPr>
              <w:autoSpaceDE w:val="0"/>
              <w:autoSpaceDN w:val="0"/>
              <w:adjustRightInd w:val="0"/>
              <w:jc w:val="center"/>
              <w:rPr>
                <w:rFonts w:ascii="Arial" w:hAnsi="Arial" w:cs="Arial"/>
                <w:lang w:val="en-SG"/>
              </w:rPr>
            </w:pPr>
            <w:r>
              <w:rPr>
                <w:rFonts w:ascii="Arial" w:hAnsi="Arial" w:cs="Arial"/>
                <w:lang w:val="en-SG"/>
              </w:rPr>
              <w:t>1.91</w:t>
            </w:r>
          </w:p>
        </w:tc>
      </w:tr>
    </w:tbl>
    <w:p w14:paraId="5E82C09E" w14:textId="77777777" w:rsidR="004D2C75" w:rsidRPr="00D63155" w:rsidRDefault="004D2C75" w:rsidP="004D2C75">
      <w:pPr>
        <w:autoSpaceDE w:val="0"/>
        <w:autoSpaceDN w:val="0"/>
        <w:adjustRightInd w:val="0"/>
        <w:jc w:val="both"/>
        <w:rPr>
          <w:rFonts w:ascii="Arial" w:hAnsi="Arial" w:cs="Arial"/>
          <w:lang w:val="en-SG"/>
        </w:rPr>
      </w:pPr>
    </w:p>
    <w:p w14:paraId="1D7AA26E" w14:textId="77777777" w:rsidR="004D2C75" w:rsidRDefault="004D2C75" w:rsidP="004D2C75">
      <w:pPr>
        <w:autoSpaceDE w:val="0"/>
        <w:autoSpaceDN w:val="0"/>
        <w:adjustRightInd w:val="0"/>
        <w:jc w:val="both"/>
        <w:rPr>
          <w:rFonts w:ascii="Arial" w:hAnsi="Arial" w:cs="Arial"/>
          <w:lang w:val="en-SG"/>
        </w:rPr>
      </w:pPr>
    </w:p>
    <w:p w14:paraId="04B6277D" w14:textId="77777777" w:rsidR="004D2C75" w:rsidRDefault="004D2C75" w:rsidP="004D2C75">
      <w:pPr>
        <w:autoSpaceDE w:val="0"/>
        <w:autoSpaceDN w:val="0"/>
        <w:adjustRightInd w:val="0"/>
        <w:jc w:val="right"/>
        <w:rPr>
          <w:rFonts w:ascii="Arial" w:hAnsi="Arial" w:cs="Arial"/>
          <w:lang w:val="en-SG"/>
        </w:rPr>
      </w:pPr>
      <w:r>
        <w:rPr>
          <w:rFonts w:ascii="Arial" w:hAnsi="Arial" w:cs="Arial"/>
          <w:lang w:val="en-SG"/>
        </w:rPr>
        <w:t>Source: Asian Development Bank, 2016</w:t>
      </w:r>
    </w:p>
    <w:p w14:paraId="5B158B80" w14:textId="77777777" w:rsidR="004D2C75" w:rsidRDefault="004D2C75" w:rsidP="004D2C75">
      <w:pPr>
        <w:autoSpaceDE w:val="0"/>
        <w:autoSpaceDN w:val="0"/>
        <w:adjustRightInd w:val="0"/>
        <w:jc w:val="right"/>
        <w:rPr>
          <w:rFonts w:ascii="Arial" w:hAnsi="Arial" w:cs="Arial"/>
          <w:b/>
          <w:lang w:val="en-SG"/>
        </w:rPr>
      </w:pPr>
    </w:p>
    <w:p w14:paraId="3CE76870" w14:textId="77777777" w:rsidR="004D2C75" w:rsidRDefault="004D2C75" w:rsidP="00735AEF">
      <w:pPr>
        <w:autoSpaceDE w:val="0"/>
        <w:autoSpaceDN w:val="0"/>
        <w:adjustRightInd w:val="0"/>
        <w:jc w:val="right"/>
        <w:rPr>
          <w:rFonts w:ascii="Arial" w:hAnsi="Arial" w:cs="Arial"/>
          <w:b/>
          <w:lang w:val="en-SG"/>
        </w:rPr>
      </w:pPr>
    </w:p>
    <w:p w14:paraId="6FDDA07C" w14:textId="77777777" w:rsidR="004D2C75" w:rsidRDefault="004D2C75" w:rsidP="00735AEF">
      <w:pPr>
        <w:autoSpaceDE w:val="0"/>
        <w:autoSpaceDN w:val="0"/>
        <w:adjustRightInd w:val="0"/>
        <w:jc w:val="right"/>
        <w:rPr>
          <w:rFonts w:ascii="Arial" w:hAnsi="Arial" w:cs="Arial"/>
          <w:b/>
          <w:lang w:val="en-SG"/>
        </w:rPr>
      </w:pPr>
    </w:p>
    <w:p w14:paraId="666469D7" w14:textId="77777777" w:rsidR="00066EF9" w:rsidRDefault="00066EF9" w:rsidP="008059EB">
      <w:pPr>
        <w:autoSpaceDE w:val="0"/>
        <w:autoSpaceDN w:val="0"/>
        <w:adjustRightInd w:val="0"/>
        <w:jc w:val="both"/>
        <w:rPr>
          <w:rFonts w:ascii="Arial" w:hAnsi="Arial" w:cs="Arial"/>
          <w:b/>
          <w:lang w:val="en-SG"/>
        </w:rPr>
      </w:pPr>
    </w:p>
    <w:p w14:paraId="4B0D94BD" w14:textId="72F437FB" w:rsidR="00735AEF" w:rsidRDefault="00C748DF" w:rsidP="004D2C75">
      <w:pPr>
        <w:spacing w:after="160" w:line="259" w:lineRule="auto"/>
        <w:rPr>
          <w:rFonts w:ascii="Arial" w:hAnsi="Arial" w:cs="Arial"/>
          <w:b/>
          <w:lang w:val="en-SG"/>
        </w:rPr>
      </w:pPr>
      <w:r>
        <w:rPr>
          <w:rFonts w:ascii="Arial" w:hAnsi="Arial" w:cs="Arial"/>
          <w:b/>
          <w:lang w:val="en-SG"/>
        </w:rPr>
        <w:br w:type="page"/>
      </w:r>
    </w:p>
    <w:p w14:paraId="630FFFB5" w14:textId="310042DD" w:rsidR="00066EF9" w:rsidRDefault="00066EF9" w:rsidP="008059EB">
      <w:pPr>
        <w:autoSpaceDE w:val="0"/>
        <w:autoSpaceDN w:val="0"/>
        <w:adjustRightInd w:val="0"/>
        <w:jc w:val="both"/>
        <w:rPr>
          <w:rFonts w:ascii="Arial" w:hAnsi="Arial" w:cs="Arial"/>
          <w:b/>
          <w:lang w:val="en-SG"/>
        </w:rPr>
      </w:pPr>
      <w:r>
        <w:rPr>
          <w:rFonts w:ascii="Arial" w:hAnsi="Arial" w:cs="Arial"/>
          <w:b/>
          <w:lang w:val="en-SG"/>
        </w:rPr>
        <w:lastRenderedPageBreak/>
        <w:t xml:space="preserve">Extract </w:t>
      </w:r>
      <w:r w:rsidR="00242AD8">
        <w:rPr>
          <w:rFonts w:ascii="Arial" w:hAnsi="Arial" w:cs="Arial"/>
          <w:b/>
          <w:lang w:val="en-SG"/>
        </w:rPr>
        <w:t>4</w:t>
      </w:r>
      <w:r>
        <w:rPr>
          <w:rFonts w:ascii="Arial" w:hAnsi="Arial" w:cs="Arial"/>
          <w:b/>
          <w:lang w:val="en-SG"/>
        </w:rPr>
        <w:t xml:space="preserve">: </w:t>
      </w:r>
      <w:r w:rsidR="00242AD8">
        <w:rPr>
          <w:rFonts w:ascii="Arial" w:hAnsi="Arial" w:cs="Arial"/>
          <w:b/>
          <w:lang w:val="en-SG"/>
        </w:rPr>
        <w:t>The need for inclusive economic growth in Bangladesh</w:t>
      </w:r>
    </w:p>
    <w:p w14:paraId="77D1B5EA" w14:textId="77777777" w:rsidR="00066EF9" w:rsidRDefault="00066EF9" w:rsidP="008059EB">
      <w:pPr>
        <w:autoSpaceDE w:val="0"/>
        <w:autoSpaceDN w:val="0"/>
        <w:adjustRightInd w:val="0"/>
        <w:jc w:val="both"/>
        <w:rPr>
          <w:rFonts w:ascii="Arial" w:hAnsi="Arial" w:cs="Arial"/>
          <w:lang w:val="en-SG"/>
        </w:rPr>
      </w:pPr>
    </w:p>
    <w:p w14:paraId="0A6DA7C7" w14:textId="496D2967" w:rsidR="007C3E79" w:rsidRDefault="00242AD8" w:rsidP="008059EB">
      <w:pPr>
        <w:autoSpaceDE w:val="0"/>
        <w:autoSpaceDN w:val="0"/>
        <w:adjustRightInd w:val="0"/>
        <w:jc w:val="both"/>
        <w:rPr>
          <w:rFonts w:ascii="Arial" w:hAnsi="Arial" w:cs="Arial"/>
          <w:lang w:val="en-SG"/>
        </w:rPr>
      </w:pPr>
      <w:r>
        <w:rPr>
          <w:rFonts w:ascii="Arial" w:hAnsi="Arial" w:cs="Arial"/>
          <w:lang w:val="en-SG"/>
        </w:rPr>
        <w:t xml:space="preserve">In 2016 Bangladesh continued with its economic growth, recording an impressive GDP growth rate of 7.1%. Bangladesh is currently the second largest exporter of ready-made clothing in the world after China. In addition, foreign remittances continue to flow into the country in record amounts of roughly US$14 billion per year </w:t>
      </w:r>
      <w:r w:rsidR="006F72F3">
        <w:rPr>
          <w:rFonts w:ascii="Arial" w:hAnsi="Arial" w:cs="Arial"/>
          <w:lang w:val="en-SG"/>
        </w:rPr>
        <w:t>hard-working Bangladeshis residing in the Middle East and other parts of the world.</w:t>
      </w:r>
    </w:p>
    <w:p w14:paraId="7BDA4149" w14:textId="7F079643" w:rsidR="006F72F3" w:rsidRDefault="006F72F3" w:rsidP="008059EB">
      <w:pPr>
        <w:autoSpaceDE w:val="0"/>
        <w:autoSpaceDN w:val="0"/>
        <w:adjustRightInd w:val="0"/>
        <w:jc w:val="both"/>
        <w:rPr>
          <w:rFonts w:ascii="Arial" w:hAnsi="Arial" w:cs="Arial"/>
          <w:lang w:val="en-SG"/>
        </w:rPr>
      </w:pPr>
    </w:p>
    <w:p w14:paraId="611C7535" w14:textId="2000030E" w:rsidR="006F72F3" w:rsidRDefault="006F72F3" w:rsidP="008059EB">
      <w:pPr>
        <w:autoSpaceDE w:val="0"/>
        <w:autoSpaceDN w:val="0"/>
        <w:adjustRightInd w:val="0"/>
        <w:jc w:val="both"/>
        <w:rPr>
          <w:rFonts w:ascii="Arial" w:hAnsi="Arial" w:cs="Arial"/>
          <w:lang w:val="en-SG"/>
        </w:rPr>
      </w:pPr>
      <w:r>
        <w:rPr>
          <w:rFonts w:ascii="Arial" w:hAnsi="Arial" w:cs="Arial"/>
          <w:lang w:val="en-SG"/>
        </w:rPr>
        <w:t xml:space="preserve">Signs of an economic boom are visible </w:t>
      </w:r>
      <w:r w:rsidR="007622C3">
        <w:rPr>
          <w:rFonts w:ascii="Arial" w:hAnsi="Arial" w:cs="Arial"/>
          <w:lang w:val="en-SG"/>
        </w:rPr>
        <w:t xml:space="preserve">in and around the country’s cities, but especially in the capital, Dhaka, where hundreds of luxury cars and expensive new apartments overlook poor neighbourhoods and slums. A record number of Bangladeshis are now going abroad for vacations and medical </w:t>
      </w:r>
      <w:proofErr w:type="gramStart"/>
      <w:r w:rsidR="007622C3">
        <w:rPr>
          <w:rFonts w:ascii="Arial" w:hAnsi="Arial" w:cs="Arial"/>
          <w:lang w:val="en-SG"/>
        </w:rPr>
        <w:t>treatments, and</w:t>
      </w:r>
      <w:proofErr w:type="gramEnd"/>
      <w:r w:rsidR="007622C3">
        <w:rPr>
          <w:rFonts w:ascii="Arial" w:hAnsi="Arial" w:cs="Arial"/>
          <w:lang w:val="en-SG"/>
        </w:rPr>
        <w:t xml:space="preserve"> sending their children to schools overseas for higher education. Many have acquired second and third homes in countries like Malaysia, Australia, Canada, and the United Kingdom (UK), and the United States (US). In a country of 160 million people however, only about 1% makes up this privileged class. This small group almost exclusively enjoys the benefits of economic growth in Bangladesh. They are mostly business people who run family-owned businesses. These groups of companies control vast amounts of wealth and own most of the banks and other financial institutions in Bangladesh. </w:t>
      </w:r>
    </w:p>
    <w:p w14:paraId="3B82026F" w14:textId="05A427B5" w:rsidR="007622C3" w:rsidRDefault="007622C3" w:rsidP="008059EB">
      <w:pPr>
        <w:autoSpaceDE w:val="0"/>
        <w:autoSpaceDN w:val="0"/>
        <w:adjustRightInd w:val="0"/>
        <w:jc w:val="both"/>
        <w:rPr>
          <w:rFonts w:ascii="Arial" w:hAnsi="Arial" w:cs="Arial"/>
          <w:lang w:val="en-SG"/>
        </w:rPr>
      </w:pPr>
    </w:p>
    <w:p w14:paraId="4B20E5C7" w14:textId="77777777" w:rsidR="00665A31" w:rsidRDefault="007622C3" w:rsidP="008059EB">
      <w:pPr>
        <w:autoSpaceDE w:val="0"/>
        <w:autoSpaceDN w:val="0"/>
        <w:adjustRightInd w:val="0"/>
        <w:jc w:val="both"/>
        <w:rPr>
          <w:rFonts w:ascii="Arial" w:hAnsi="Arial" w:cs="Arial"/>
          <w:lang w:val="en-SG"/>
        </w:rPr>
      </w:pPr>
      <w:proofErr w:type="gramStart"/>
      <w:r>
        <w:rPr>
          <w:rFonts w:ascii="Arial" w:hAnsi="Arial" w:cs="Arial"/>
          <w:lang w:val="en-SG"/>
        </w:rPr>
        <w:t>So</w:t>
      </w:r>
      <w:proofErr w:type="gramEnd"/>
      <w:r>
        <w:rPr>
          <w:rFonts w:ascii="Arial" w:hAnsi="Arial" w:cs="Arial"/>
          <w:lang w:val="en-SG"/>
        </w:rPr>
        <w:t xml:space="preserve"> what about the rest of the population? According to the latest estimates from the Asian Development Bank (ADB), around 50 </w:t>
      </w:r>
      <w:r w:rsidR="00665A31">
        <w:rPr>
          <w:rFonts w:ascii="Arial" w:hAnsi="Arial" w:cs="Arial"/>
          <w:lang w:val="en-SG"/>
        </w:rPr>
        <w:t>million people in Bangladesh continue to live below the poverty line. This constitutes the highest proportion in South Asia. The earnings gap between workers and owners is higher than ever in Bangladesh’s business sector. It is even worse for the female labour force, who account for an estimated 45% of the working population. To make matters worse, because women face greater challenges accessing finance and information, female entrepreneurs rarely get the opportunity to compete in the male-dominated arena of trade and commerce.</w:t>
      </w:r>
    </w:p>
    <w:p w14:paraId="707ADBD9" w14:textId="77777777" w:rsidR="00665A31" w:rsidRDefault="00665A31" w:rsidP="008059EB">
      <w:pPr>
        <w:autoSpaceDE w:val="0"/>
        <w:autoSpaceDN w:val="0"/>
        <w:adjustRightInd w:val="0"/>
        <w:jc w:val="both"/>
        <w:rPr>
          <w:rFonts w:ascii="Arial" w:hAnsi="Arial" w:cs="Arial"/>
          <w:lang w:val="en-SG"/>
        </w:rPr>
      </w:pPr>
    </w:p>
    <w:p w14:paraId="3D92388D" w14:textId="21FFC7AF" w:rsidR="00665A31" w:rsidRDefault="00665A31" w:rsidP="008059EB">
      <w:pPr>
        <w:autoSpaceDE w:val="0"/>
        <w:autoSpaceDN w:val="0"/>
        <w:adjustRightInd w:val="0"/>
        <w:jc w:val="both"/>
        <w:rPr>
          <w:rFonts w:ascii="Arial" w:hAnsi="Arial" w:cs="Arial"/>
          <w:lang w:val="en-SG"/>
        </w:rPr>
      </w:pPr>
      <w:r>
        <w:rPr>
          <w:rFonts w:ascii="Arial" w:hAnsi="Arial" w:cs="Arial"/>
          <w:lang w:val="en-SG"/>
        </w:rPr>
        <w:t xml:space="preserve">The stock market, which normally provides an avenue for ordinary people to invest and participate in the larger economy, has been a </w:t>
      </w:r>
      <w:proofErr w:type="gramStart"/>
      <w:r>
        <w:rPr>
          <w:rFonts w:ascii="Arial" w:hAnsi="Arial" w:cs="Arial"/>
          <w:lang w:val="en-SG"/>
        </w:rPr>
        <w:t>shambles</w:t>
      </w:r>
      <w:proofErr w:type="gramEnd"/>
      <w:r>
        <w:rPr>
          <w:rFonts w:ascii="Arial" w:hAnsi="Arial" w:cs="Arial"/>
          <w:lang w:val="en-SG"/>
        </w:rPr>
        <w:t xml:space="preserve"> since the Bangladesh stock market crash in 2011 that sparked violent protests because around 3 million small investors lost all of their money. The incident broke the confidence of potential investors, including the Bangladeshi workers abroad who continue to send their hard-earned money back home. The ongoing domination of economic opportunities by the elites and lack of investment opportunity for ordinary citizens has created an unmanageable gap between the “haves” and the “have-nots,” or the super-rich and the rest.</w:t>
      </w:r>
    </w:p>
    <w:p w14:paraId="6C9C3739" w14:textId="3FFF7DD1" w:rsidR="00665A31" w:rsidRDefault="00665A31" w:rsidP="008059EB">
      <w:pPr>
        <w:autoSpaceDE w:val="0"/>
        <w:autoSpaceDN w:val="0"/>
        <w:adjustRightInd w:val="0"/>
        <w:jc w:val="both"/>
        <w:rPr>
          <w:rFonts w:ascii="Arial" w:hAnsi="Arial" w:cs="Arial"/>
          <w:lang w:val="en-SG"/>
        </w:rPr>
      </w:pPr>
    </w:p>
    <w:p w14:paraId="6742D297" w14:textId="2170D013" w:rsidR="00242AD8" w:rsidRDefault="00665A31" w:rsidP="008059EB">
      <w:pPr>
        <w:autoSpaceDE w:val="0"/>
        <w:autoSpaceDN w:val="0"/>
        <w:adjustRightInd w:val="0"/>
        <w:jc w:val="both"/>
        <w:rPr>
          <w:rFonts w:ascii="Arial" w:hAnsi="Arial" w:cs="Arial"/>
          <w:lang w:val="en-SG"/>
        </w:rPr>
      </w:pPr>
      <w:r>
        <w:rPr>
          <w:rFonts w:ascii="Arial" w:hAnsi="Arial" w:cs="Arial"/>
          <w:lang w:val="en-SG"/>
        </w:rPr>
        <w:t>What is needed is an inclusive growth strategy. Policies and structures need to be put in place, which give all people the opportunity to reap the benefits of economic growth. To do so, the government needs to provide a safe and supportive environment including infrastructure support (especially water, roads and energy), and create equal opportunities for all, specifically for the small- and medium-sized enterprises, to compete and participate in business opportunities.</w:t>
      </w:r>
    </w:p>
    <w:p w14:paraId="7FEB30D4" w14:textId="77777777" w:rsidR="00665A31" w:rsidRDefault="00665A31" w:rsidP="008059EB">
      <w:pPr>
        <w:autoSpaceDE w:val="0"/>
        <w:autoSpaceDN w:val="0"/>
        <w:adjustRightInd w:val="0"/>
        <w:jc w:val="both"/>
        <w:rPr>
          <w:rFonts w:ascii="Arial" w:hAnsi="Arial" w:cs="Arial"/>
          <w:lang w:val="en-SG"/>
        </w:rPr>
      </w:pPr>
    </w:p>
    <w:p w14:paraId="2BCA37E3" w14:textId="41602B7A" w:rsidR="00066EF9" w:rsidRPr="007C3E79" w:rsidRDefault="007C3E79" w:rsidP="007C3E79">
      <w:pPr>
        <w:autoSpaceDE w:val="0"/>
        <w:autoSpaceDN w:val="0"/>
        <w:adjustRightInd w:val="0"/>
        <w:jc w:val="right"/>
        <w:rPr>
          <w:rFonts w:ascii="Arial" w:hAnsi="Arial" w:cs="Arial"/>
          <w:lang w:val="en-SG"/>
        </w:rPr>
      </w:pPr>
      <w:r>
        <w:rPr>
          <w:rFonts w:ascii="Arial" w:hAnsi="Arial" w:cs="Arial"/>
          <w:lang w:val="en-SG"/>
        </w:rPr>
        <w:t xml:space="preserve">Source: </w:t>
      </w:r>
      <w:r w:rsidR="00665A31">
        <w:rPr>
          <w:rFonts w:ascii="Arial" w:hAnsi="Arial" w:cs="Arial"/>
          <w:lang w:val="en-SG"/>
        </w:rPr>
        <w:t>The Asia Foundation, 16 November 2016</w:t>
      </w:r>
    </w:p>
    <w:p w14:paraId="0C50F8A3" w14:textId="4D52940A" w:rsidR="00066EF9" w:rsidRDefault="00066EF9" w:rsidP="008059EB">
      <w:pPr>
        <w:autoSpaceDE w:val="0"/>
        <w:autoSpaceDN w:val="0"/>
        <w:adjustRightInd w:val="0"/>
        <w:jc w:val="both"/>
        <w:rPr>
          <w:rFonts w:ascii="Arial" w:hAnsi="Arial" w:cs="Arial"/>
          <w:b/>
          <w:lang w:val="en-SG"/>
        </w:rPr>
      </w:pPr>
      <w:r>
        <w:rPr>
          <w:rFonts w:ascii="Arial" w:hAnsi="Arial" w:cs="Arial"/>
          <w:b/>
          <w:lang w:val="en-SG"/>
        </w:rPr>
        <w:lastRenderedPageBreak/>
        <w:t xml:space="preserve">Extract </w:t>
      </w:r>
      <w:r w:rsidR="00665A31">
        <w:rPr>
          <w:rFonts w:ascii="Arial" w:hAnsi="Arial" w:cs="Arial"/>
          <w:b/>
          <w:lang w:val="en-SG"/>
        </w:rPr>
        <w:t>5: Improving access to water, roads and energy</w:t>
      </w:r>
    </w:p>
    <w:p w14:paraId="195F3B8A" w14:textId="77777777" w:rsidR="00066EF9" w:rsidRDefault="00066EF9" w:rsidP="008059EB">
      <w:pPr>
        <w:autoSpaceDE w:val="0"/>
        <w:autoSpaceDN w:val="0"/>
        <w:adjustRightInd w:val="0"/>
        <w:jc w:val="both"/>
        <w:rPr>
          <w:rFonts w:ascii="Arial" w:hAnsi="Arial" w:cs="Arial"/>
          <w:b/>
          <w:lang w:val="en-SG"/>
        </w:rPr>
      </w:pPr>
    </w:p>
    <w:p w14:paraId="13F82D5A" w14:textId="62FC0301" w:rsidR="00066EF9" w:rsidRDefault="00665A31" w:rsidP="00066EF9">
      <w:pPr>
        <w:autoSpaceDE w:val="0"/>
        <w:autoSpaceDN w:val="0"/>
        <w:adjustRightInd w:val="0"/>
        <w:jc w:val="both"/>
        <w:rPr>
          <w:rFonts w:ascii="Arial" w:hAnsi="Arial" w:cs="Arial"/>
          <w:lang w:val="en-SG"/>
        </w:rPr>
      </w:pPr>
      <w:r>
        <w:rPr>
          <w:rFonts w:ascii="Arial" w:hAnsi="Arial" w:cs="Arial"/>
          <w:lang w:val="en-SG"/>
        </w:rPr>
        <w:t xml:space="preserve">The government </w:t>
      </w:r>
      <w:proofErr w:type="gramStart"/>
      <w:r w:rsidR="00EA391F">
        <w:rPr>
          <w:rFonts w:ascii="Arial" w:hAnsi="Arial" w:cs="Arial"/>
          <w:lang w:val="en-SG"/>
        </w:rPr>
        <w:t>has to</w:t>
      </w:r>
      <w:proofErr w:type="gramEnd"/>
      <w:r w:rsidR="00EA391F">
        <w:rPr>
          <w:rFonts w:ascii="Arial" w:hAnsi="Arial" w:cs="Arial"/>
          <w:lang w:val="en-SG"/>
        </w:rPr>
        <w:t xml:space="preserve"> ensure equal access to productive assets and to infrastructure such as water, transport, and electricity, both across the country and across different socio-economic groups, since these assets create opportunities for growth and help lift people out of poverty.</w:t>
      </w:r>
    </w:p>
    <w:p w14:paraId="790C36F8" w14:textId="64A5C0BA" w:rsidR="00EA391F" w:rsidRDefault="00EA391F" w:rsidP="00066EF9">
      <w:pPr>
        <w:autoSpaceDE w:val="0"/>
        <w:autoSpaceDN w:val="0"/>
        <w:adjustRightInd w:val="0"/>
        <w:jc w:val="both"/>
        <w:rPr>
          <w:rFonts w:ascii="Arial" w:hAnsi="Arial" w:cs="Arial"/>
          <w:lang w:val="en-SG"/>
        </w:rPr>
      </w:pPr>
    </w:p>
    <w:p w14:paraId="45DF8A7E" w14:textId="30F50FED" w:rsidR="00EA391F" w:rsidRDefault="00EA391F" w:rsidP="00066EF9">
      <w:pPr>
        <w:autoSpaceDE w:val="0"/>
        <w:autoSpaceDN w:val="0"/>
        <w:adjustRightInd w:val="0"/>
        <w:jc w:val="both"/>
        <w:rPr>
          <w:rFonts w:ascii="Arial" w:hAnsi="Arial" w:cs="Arial"/>
          <w:lang w:val="en-SG"/>
        </w:rPr>
      </w:pPr>
      <w:r>
        <w:rPr>
          <w:rFonts w:ascii="Arial" w:hAnsi="Arial" w:cs="Arial"/>
          <w:lang w:val="en-SG"/>
        </w:rPr>
        <w:t>In Bangladesh in 2015, only 87% of urban and rural households had access to adequate water sources. This was the lowest in South Asia.</w:t>
      </w:r>
    </w:p>
    <w:p w14:paraId="4470D475" w14:textId="379372C8" w:rsidR="00EA391F" w:rsidRDefault="00EA391F" w:rsidP="00066EF9">
      <w:pPr>
        <w:autoSpaceDE w:val="0"/>
        <w:autoSpaceDN w:val="0"/>
        <w:adjustRightInd w:val="0"/>
        <w:jc w:val="both"/>
        <w:rPr>
          <w:rFonts w:ascii="Arial" w:hAnsi="Arial" w:cs="Arial"/>
          <w:lang w:val="en-SG"/>
        </w:rPr>
      </w:pPr>
    </w:p>
    <w:p w14:paraId="2EA73A2D" w14:textId="101415AD" w:rsidR="00EA391F" w:rsidRDefault="00EA391F" w:rsidP="00066EF9">
      <w:pPr>
        <w:autoSpaceDE w:val="0"/>
        <w:autoSpaceDN w:val="0"/>
        <w:adjustRightInd w:val="0"/>
        <w:jc w:val="both"/>
        <w:rPr>
          <w:rFonts w:ascii="Arial" w:hAnsi="Arial" w:cs="Arial"/>
          <w:lang w:val="en-SG"/>
        </w:rPr>
      </w:pPr>
      <w:r>
        <w:rPr>
          <w:rFonts w:ascii="Arial" w:hAnsi="Arial" w:cs="Arial"/>
          <w:lang w:val="en-SG"/>
        </w:rPr>
        <w:t>Transport infrastructure is quite undeveloped. World Bank data indicate that only 39% of Bangladesh’s rural population lives within 2 kilometres of an all-season road – a road that can be used throughout the year by the transport normally used in the area</w:t>
      </w:r>
      <w:r w:rsidR="00683E54">
        <w:rPr>
          <w:rFonts w:ascii="Arial" w:hAnsi="Arial" w:cs="Arial"/>
          <w:lang w:val="en-SG"/>
        </w:rPr>
        <w:t xml:space="preserve">. Only 30% of the road in Bangladesh are paved. </w:t>
      </w:r>
    </w:p>
    <w:p w14:paraId="6D9046A4" w14:textId="52F2F5A4" w:rsidR="00BE1D45" w:rsidRDefault="00BE1D45" w:rsidP="00066EF9">
      <w:pPr>
        <w:autoSpaceDE w:val="0"/>
        <w:autoSpaceDN w:val="0"/>
        <w:adjustRightInd w:val="0"/>
        <w:jc w:val="both"/>
        <w:rPr>
          <w:rFonts w:ascii="Arial" w:hAnsi="Arial" w:cs="Arial"/>
          <w:lang w:val="en-SG"/>
        </w:rPr>
      </w:pPr>
    </w:p>
    <w:p w14:paraId="4DC67C5A" w14:textId="196E5279" w:rsidR="00BE1D45" w:rsidRDefault="00BE1D45" w:rsidP="00066EF9">
      <w:pPr>
        <w:autoSpaceDE w:val="0"/>
        <w:autoSpaceDN w:val="0"/>
        <w:adjustRightInd w:val="0"/>
        <w:jc w:val="both"/>
        <w:rPr>
          <w:rFonts w:ascii="Arial" w:hAnsi="Arial" w:cs="Arial"/>
          <w:lang w:val="en-SG"/>
        </w:rPr>
      </w:pPr>
      <w:r>
        <w:rPr>
          <w:rFonts w:ascii="Arial" w:hAnsi="Arial" w:cs="Arial"/>
          <w:lang w:val="en-SG"/>
        </w:rPr>
        <w:t>Transport connectivity is a key contributor to economic and social development. Improved roads and infrastructure can create opportunities for growth and poverty reduction. On the other hand, lack of access to roads prevents communities from accessing education and health services as well as hindering the transport of products.</w:t>
      </w:r>
    </w:p>
    <w:p w14:paraId="385EAE1F" w14:textId="234A9DA6" w:rsidR="00BE1D45" w:rsidRDefault="00BE1D45" w:rsidP="00066EF9">
      <w:pPr>
        <w:autoSpaceDE w:val="0"/>
        <w:autoSpaceDN w:val="0"/>
        <w:adjustRightInd w:val="0"/>
        <w:jc w:val="both"/>
        <w:rPr>
          <w:rFonts w:ascii="Arial" w:hAnsi="Arial" w:cs="Arial"/>
          <w:lang w:val="en-SG"/>
        </w:rPr>
      </w:pPr>
    </w:p>
    <w:p w14:paraId="008EC09A" w14:textId="706797D9" w:rsidR="00BE1D45" w:rsidRDefault="00BE1D45" w:rsidP="00066EF9">
      <w:pPr>
        <w:autoSpaceDE w:val="0"/>
        <w:autoSpaceDN w:val="0"/>
        <w:adjustRightInd w:val="0"/>
        <w:jc w:val="both"/>
        <w:rPr>
          <w:rFonts w:ascii="Arial" w:hAnsi="Arial" w:cs="Arial"/>
          <w:lang w:val="en-SG"/>
        </w:rPr>
      </w:pPr>
      <w:r>
        <w:rPr>
          <w:rFonts w:ascii="Arial" w:hAnsi="Arial" w:cs="Arial"/>
          <w:lang w:val="en-SG"/>
        </w:rPr>
        <w:t>For many years until 2010, Bangladesh had not invested in power generation, leading to a huge power shortage and power blackouts across all sectors of the economy. The demand for electricity had been rising rapidly along with growth in per capital income, increasing industrialisation, and the expansion of users in agriculture and commerce. Because electricity is an important input to production in manufacturing, agriculture, construction, and various services, inadequate supply and frequent power cuts had emerged and remained a binding constraint on productivity and the expansion of businesses.</w:t>
      </w:r>
    </w:p>
    <w:p w14:paraId="5139480E" w14:textId="1D8E3467" w:rsidR="00BE1D45" w:rsidRDefault="00BE1D45" w:rsidP="00066EF9">
      <w:pPr>
        <w:autoSpaceDE w:val="0"/>
        <w:autoSpaceDN w:val="0"/>
        <w:adjustRightInd w:val="0"/>
        <w:jc w:val="both"/>
        <w:rPr>
          <w:rFonts w:ascii="Arial" w:hAnsi="Arial" w:cs="Arial"/>
          <w:lang w:val="en-SG"/>
        </w:rPr>
      </w:pPr>
    </w:p>
    <w:p w14:paraId="134C1CEF" w14:textId="0F124B6D" w:rsidR="00BE1D45" w:rsidRDefault="00BE1D45" w:rsidP="00066EF9">
      <w:pPr>
        <w:autoSpaceDE w:val="0"/>
        <w:autoSpaceDN w:val="0"/>
        <w:adjustRightInd w:val="0"/>
        <w:jc w:val="both"/>
        <w:rPr>
          <w:rFonts w:ascii="Arial" w:hAnsi="Arial" w:cs="Arial"/>
          <w:lang w:val="en-SG"/>
        </w:rPr>
      </w:pPr>
      <w:r>
        <w:rPr>
          <w:rFonts w:ascii="Arial" w:hAnsi="Arial" w:cs="Arial"/>
          <w:lang w:val="en-SG"/>
        </w:rPr>
        <w:t xml:space="preserve">As with other basic services, income is a significant determinant of access to electricity. The urban population is more than twice as likely to have access to electricity than the rural population, where most of the poor reside. Nationwide access to electricity was 32.6% in </w:t>
      </w:r>
      <w:proofErr w:type="gramStart"/>
      <w:r>
        <w:rPr>
          <w:rFonts w:ascii="Arial" w:hAnsi="Arial" w:cs="Arial"/>
          <w:lang w:val="en-SG"/>
        </w:rPr>
        <w:t>2000, and</w:t>
      </w:r>
      <w:proofErr w:type="gramEnd"/>
      <w:r>
        <w:rPr>
          <w:rFonts w:ascii="Arial" w:hAnsi="Arial" w:cs="Arial"/>
          <w:lang w:val="en-SG"/>
        </w:rPr>
        <w:t xml:space="preserve"> had increased to 56.4% by 2010. That is still way below the 86% average for other countries in South Asia. The electricity connection fee for a household is Tk34000 (US$430), which covers the cost of a meter, installation, and a security deposit. This is equivalent to about 5 or 6 months of the average household income of a poor person in Dhaka. Due to their low and irregular incomes, the urban poor are unable to afford either the installation costs or to pay for their electricity consumption in a continuous or consistent manner.</w:t>
      </w:r>
    </w:p>
    <w:p w14:paraId="44B33C95" w14:textId="77777777" w:rsidR="00EA391F" w:rsidRDefault="00EA391F" w:rsidP="00066EF9">
      <w:pPr>
        <w:autoSpaceDE w:val="0"/>
        <w:autoSpaceDN w:val="0"/>
        <w:adjustRightInd w:val="0"/>
        <w:jc w:val="both"/>
        <w:rPr>
          <w:rFonts w:ascii="Arial" w:hAnsi="Arial" w:cs="Arial"/>
          <w:lang w:val="en-SG"/>
        </w:rPr>
      </w:pPr>
    </w:p>
    <w:p w14:paraId="32F09024" w14:textId="1DE667AC" w:rsidR="008059EB" w:rsidRDefault="00066EF9" w:rsidP="00066EF9">
      <w:pPr>
        <w:autoSpaceDE w:val="0"/>
        <w:autoSpaceDN w:val="0"/>
        <w:adjustRightInd w:val="0"/>
        <w:jc w:val="right"/>
        <w:rPr>
          <w:rFonts w:ascii="Arial" w:hAnsi="Arial" w:cs="Arial"/>
          <w:lang w:val="en-SG"/>
        </w:rPr>
      </w:pPr>
      <w:r>
        <w:rPr>
          <w:rFonts w:ascii="Arial" w:hAnsi="Arial" w:cs="Arial"/>
          <w:lang w:val="en-SG"/>
        </w:rPr>
        <w:t xml:space="preserve">Source: </w:t>
      </w:r>
      <w:r w:rsidR="00BE1D45">
        <w:rPr>
          <w:rFonts w:ascii="Arial" w:hAnsi="Arial" w:cs="Arial"/>
          <w:lang w:val="en-SG"/>
        </w:rPr>
        <w:t>Asian Development Bank, Bangladesh Diagnostic Study, 2016</w:t>
      </w:r>
    </w:p>
    <w:p w14:paraId="51D682A1" w14:textId="77777777" w:rsidR="00066EF9" w:rsidRPr="00066EF9" w:rsidRDefault="00066EF9" w:rsidP="00066EF9">
      <w:pPr>
        <w:autoSpaceDE w:val="0"/>
        <w:autoSpaceDN w:val="0"/>
        <w:adjustRightInd w:val="0"/>
        <w:jc w:val="right"/>
        <w:rPr>
          <w:rFonts w:ascii="Arial" w:hAnsi="Arial" w:cs="Arial"/>
          <w:lang w:val="en-SG"/>
        </w:rPr>
      </w:pPr>
    </w:p>
    <w:p w14:paraId="1F6ED0DD" w14:textId="77777777" w:rsidR="00BE1D45" w:rsidRDefault="00BE1D45">
      <w:pPr>
        <w:spacing w:after="160" w:line="259" w:lineRule="auto"/>
        <w:rPr>
          <w:rFonts w:ascii="Arial" w:hAnsi="Arial" w:cs="Arial"/>
          <w:b/>
          <w:lang w:val="en-SG"/>
        </w:rPr>
      </w:pPr>
      <w:r>
        <w:rPr>
          <w:rFonts w:ascii="Arial" w:hAnsi="Arial" w:cs="Arial"/>
          <w:b/>
          <w:lang w:val="en-SG"/>
        </w:rPr>
        <w:br w:type="page"/>
      </w:r>
    </w:p>
    <w:p w14:paraId="07866FB0" w14:textId="77777777" w:rsidR="003E430E" w:rsidRDefault="003E430E" w:rsidP="003E430E">
      <w:pPr>
        <w:autoSpaceDE w:val="0"/>
        <w:autoSpaceDN w:val="0"/>
        <w:adjustRightInd w:val="0"/>
        <w:jc w:val="both"/>
        <w:rPr>
          <w:rFonts w:ascii="Arial" w:hAnsi="Arial" w:cs="Arial"/>
          <w:b/>
          <w:lang w:val="en-SG"/>
        </w:rPr>
      </w:pPr>
      <w:r>
        <w:rPr>
          <w:rFonts w:ascii="Arial" w:hAnsi="Arial" w:cs="Arial"/>
          <w:b/>
          <w:lang w:val="en-SG"/>
        </w:rPr>
        <w:lastRenderedPageBreak/>
        <w:t>Questions</w:t>
      </w:r>
    </w:p>
    <w:p w14:paraId="4B776909" w14:textId="77777777" w:rsidR="003E430E" w:rsidRPr="004D2C75" w:rsidRDefault="003E430E" w:rsidP="003E430E">
      <w:pPr>
        <w:autoSpaceDE w:val="0"/>
        <w:autoSpaceDN w:val="0"/>
        <w:adjustRightInd w:val="0"/>
        <w:jc w:val="both"/>
        <w:rPr>
          <w:rFonts w:ascii="Arial" w:hAnsi="Arial" w:cs="Arial"/>
          <w:b/>
          <w:lang w:val="en-SG"/>
        </w:rPr>
      </w:pPr>
      <w:r w:rsidRPr="004D2C75">
        <w:rPr>
          <w:rFonts w:ascii="Arial" w:hAnsi="Arial" w:cs="Arial"/>
          <w:b/>
          <w:lang w:val="en-SG"/>
        </w:rPr>
        <w:t xml:space="preserve">(a) With reference to Table 1: </w:t>
      </w:r>
    </w:p>
    <w:p w14:paraId="3F055DA7" w14:textId="77777777" w:rsidR="003E430E" w:rsidRDefault="003E430E" w:rsidP="003E430E">
      <w:pPr>
        <w:autoSpaceDE w:val="0"/>
        <w:autoSpaceDN w:val="0"/>
        <w:adjustRightInd w:val="0"/>
        <w:jc w:val="both"/>
        <w:rPr>
          <w:rFonts w:ascii="Arial" w:hAnsi="Arial" w:cs="Arial"/>
          <w:lang w:val="en-SG"/>
        </w:rPr>
      </w:pPr>
    </w:p>
    <w:p w14:paraId="4BE6B246" w14:textId="77777777" w:rsidR="003E430E" w:rsidRPr="004D2C75" w:rsidRDefault="003E430E" w:rsidP="003E430E">
      <w:pPr>
        <w:pStyle w:val="ListParagraph"/>
        <w:numPr>
          <w:ilvl w:val="0"/>
          <w:numId w:val="45"/>
        </w:numPr>
        <w:autoSpaceDE w:val="0"/>
        <w:autoSpaceDN w:val="0"/>
        <w:adjustRightInd w:val="0"/>
        <w:jc w:val="both"/>
        <w:rPr>
          <w:rFonts w:ascii="Arial" w:hAnsi="Arial" w:cs="Arial"/>
          <w:lang w:val="en-SG"/>
        </w:rPr>
      </w:pPr>
      <w:r w:rsidRPr="004D2C75">
        <w:rPr>
          <w:rFonts w:ascii="Arial" w:hAnsi="Arial" w:cs="Arial"/>
          <w:lang w:val="en-SG"/>
        </w:rPr>
        <w:t xml:space="preserve">State what happened to the nominal exchange rate on the Taka (Bangladesh’s currency between 2000 and 2014. </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sidRPr="004D2C75">
        <w:rPr>
          <w:rFonts w:ascii="Arial" w:hAnsi="Arial" w:cs="Arial"/>
          <w:lang w:val="en-SG"/>
        </w:rPr>
        <w:t>[1]</w:t>
      </w:r>
    </w:p>
    <w:p w14:paraId="6C5202C4" w14:textId="77777777" w:rsidR="003E430E" w:rsidRDefault="003E430E" w:rsidP="003E430E">
      <w:pPr>
        <w:pStyle w:val="ListParagraph"/>
        <w:autoSpaceDE w:val="0"/>
        <w:autoSpaceDN w:val="0"/>
        <w:adjustRightInd w:val="0"/>
        <w:ind w:left="1080"/>
        <w:jc w:val="both"/>
        <w:rPr>
          <w:rFonts w:ascii="Arial" w:hAnsi="Arial" w:cs="Arial"/>
          <w:lang w:val="en-SG"/>
        </w:rPr>
      </w:pPr>
      <w:r>
        <w:rPr>
          <w:rFonts w:ascii="Arial" w:hAnsi="Arial" w:cs="Arial"/>
          <w:lang w:val="en-SG"/>
        </w:rPr>
        <w:t xml:space="preserve"> </w:t>
      </w:r>
    </w:p>
    <w:p w14:paraId="21410327" w14:textId="77777777" w:rsidR="003E430E" w:rsidRDefault="003E430E" w:rsidP="003E430E">
      <w:pPr>
        <w:pStyle w:val="ListParagraph"/>
        <w:numPr>
          <w:ilvl w:val="0"/>
          <w:numId w:val="45"/>
        </w:numPr>
        <w:autoSpaceDE w:val="0"/>
        <w:autoSpaceDN w:val="0"/>
        <w:adjustRightInd w:val="0"/>
        <w:jc w:val="both"/>
        <w:rPr>
          <w:rFonts w:ascii="Arial" w:hAnsi="Arial" w:cs="Arial"/>
          <w:lang w:val="en-SG"/>
        </w:rPr>
      </w:pPr>
      <w:r>
        <w:rPr>
          <w:rFonts w:ascii="Arial" w:hAnsi="Arial" w:cs="Arial"/>
          <w:lang w:val="en-SG"/>
        </w:rPr>
        <w:t xml:space="preserve">Explain whether you would expect the change in the current account balance to lead to the change in the value of the Taka shown. </w:t>
      </w:r>
      <w:r>
        <w:rPr>
          <w:rFonts w:ascii="Arial" w:hAnsi="Arial" w:cs="Arial"/>
          <w:lang w:val="en-SG"/>
        </w:rPr>
        <w:tab/>
      </w:r>
      <w:r>
        <w:rPr>
          <w:rFonts w:ascii="Arial" w:hAnsi="Arial" w:cs="Arial"/>
          <w:lang w:val="en-SG"/>
        </w:rPr>
        <w:tab/>
        <w:t>[2]</w:t>
      </w:r>
    </w:p>
    <w:p w14:paraId="5622C303" w14:textId="77777777" w:rsidR="003E430E" w:rsidRDefault="003E430E" w:rsidP="003E430E">
      <w:pPr>
        <w:pStyle w:val="ListParagraph"/>
        <w:autoSpaceDE w:val="0"/>
        <w:autoSpaceDN w:val="0"/>
        <w:adjustRightInd w:val="0"/>
        <w:ind w:left="1080"/>
        <w:jc w:val="both"/>
        <w:rPr>
          <w:rFonts w:ascii="Arial" w:hAnsi="Arial" w:cs="Arial"/>
          <w:lang w:val="en-SG"/>
        </w:rPr>
      </w:pPr>
    </w:p>
    <w:p w14:paraId="0EA02DBF" w14:textId="77777777" w:rsidR="003E430E" w:rsidRDefault="003E430E" w:rsidP="003E430E">
      <w:pPr>
        <w:pStyle w:val="ListParagraph"/>
        <w:numPr>
          <w:ilvl w:val="0"/>
          <w:numId w:val="45"/>
        </w:numPr>
        <w:autoSpaceDE w:val="0"/>
        <w:autoSpaceDN w:val="0"/>
        <w:adjustRightInd w:val="0"/>
        <w:jc w:val="both"/>
        <w:rPr>
          <w:rFonts w:ascii="Arial" w:hAnsi="Arial" w:cs="Arial"/>
          <w:lang w:val="en-SG"/>
        </w:rPr>
      </w:pPr>
      <w:r>
        <w:rPr>
          <w:rFonts w:ascii="Arial" w:hAnsi="Arial" w:cs="Arial"/>
          <w:lang w:val="en-SG"/>
        </w:rPr>
        <w:t xml:space="preserve">What can be inferred from the change in the Gini coefficient for Bangladesh? </w:t>
      </w:r>
    </w:p>
    <w:p w14:paraId="3207C231" w14:textId="77777777" w:rsidR="003E430E" w:rsidRDefault="003E430E" w:rsidP="003E430E">
      <w:pPr>
        <w:pStyle w:val="ListParagraph"/>
        <w:autoSpaceDE w:val="0"/>
        <w:autoSpaceDN w:val="0"/>
        <w:adjustRightInd w:val="0"/>
        <w:ind w:left="8280" w:firstLine="360"/>
        <w:jc w:val="both"/>
        <w:rPr>
          <w:rFonts w:ascii="Arial" w:hAnsi="Arial" w:cs="Arial"/>
          <w:lang w:val="en-SG"/>
        </w:rPr>
      </w:pPr>
      <w:r>
        <w:rPr>
          <w:rFonts w:ascii="Arial" w:hAnsi="Arial" w:cs="Arial"/>
          <w:lang w:val="en-SG"/>
        </w:rPr>
        <w:t xml:space="preserve"> [2]</w:t>
      </w:r>
    </w:p>
    <w:p w14:paraId="6EB1A86A" w14:textId="77777777" w:rsidR="003E430E" w:rsidRPr="00964E16" w:rsidRDefault="003E430E" w:rsidP="003E430E">
      <w:pPr>
        <w:pStyle w:val="ListParagraph"/>
        <w:rPr>
          <w:rFonts w:ascii="Arial" w:hAnsi="Arial" w:cs="Arial"/>
          <w:lang w:val="en-SG"/>
        </w:rPr>
      </w:pPr>
    </w:p>
    <w:p w14:paraId="3096E9D0" w14:textId="77777777" w:rsidR="003E430E" w:rsidRDefault="003E430E" w:rsidP="003E430E">
      <w:pPr>
        <w:autoSpaceDE w:val="0"/>
        <w:autoSpaceDN w:val="0"/>
        <w:adjustRightInd w:val="0"/>
        <w:jc w:val="both"/>
        <w:rPr>
          <w:rFonts w:ascii="Arial" w:hAnsi="Arial" w:cs="Arial"/>
          <w:lang w:val="en-SG"/>
        </w:rPr>
      </w:pPr>
      <w:r>
        <w:rPr>
          <w:rFonts w:ascii="Arial" w:hAnsi="Arial" w:cs="Arial"/>
          <w:lang w:val="en-SG"/>
        </w:rPr>
        <w:t xml:space="preserve">(b) Explain why a new road network in a country should </w:t>
      </w:r>
      <w:r>
        <w:rPr>
          <w:rFonts w:ascii="Arial" w:hAnsi="Arial" w:cs="Arial"/>
          <w:b/>
          <w:lang w:val="en-SG"/>
        </w:rPr>
        <w:t xml:space="preserve">not </w:t>
      </w:r>
      <w:r>
        <w:rPr>
          <w:rFonts w:ascii="Arial" w:hAnsi="Arial" w:cs="Arial"/>
          <w:lang w:val="en-SG"/>
        </w:rPr>
        <w:t>be classified as public good.</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 xml:space="preserve"> [3]</w:t>
      </w:r>
    </w:p>
    <w:p w14:paraId="28949B6B" w14:textId="77777777" w:rsidR="003E430E" w:rsidRDefault="003E430E" w:rsidP="003E430E">
      <w:pPr>
        <w:autoSpaceDE w:val="0"/>
        <w:autoSpaceDN w:val="0"/>
        <w:adjustRightInd w:val="0"/>
        <w:jc w:val="both"/>
        <w:rPr>
          <w:rFonts w:ascii="Arial" w:hAnsi="Arial" w:cs="Arial"/>
          <w:lang w:val="en-SG"/>
        </w:rPr>
      </w:pPr>
    </w:p>
    <w:p w14:paraId="681B1CF4" w14:textId="77777777" w:rsidR="003E430E" w:rsidRDefault="003E430E" w:rsidP="003E430E">
      <w:pPr>
        <w:autoSpaceDE w:val="0"/>
        <w:autoSpaceDN w:val="0"/>
        <w:adjustRightInd w:val="0"/>
        <w:jc w:val="both"/>
        <w:rPr>
          <w:rFonts w:ascii="Arial" w:hAnsi="Arial" w:cs="Arial"/>
          <w:lang w:val="en-SG"/>
        </w:rPr>
      </w:pPr>
      <w:r>
        <w:rPr>
          <w:rFonts w:ascii="Arial" w:hAnsi="Arial" w:cs="Arial"/>
          <w:lang w:val="en-SG"/>
        </w:rPr>
        <w:t xml:space="preserve">(c) Explain </w:t>
      </w:r>
      <w:r>
        <w:rPr>
          <w:rFonts w:ascii="Arial" w:hAnsi="Arial" w:cs="Arial"/>
          <w:b/>
          <w:lang w:val="en-SG"/>
        </w:rPr>
        <w:t xml:space="preserve">one </w:t>
      </w:r>
      <w:r>
        <w:rPr>
          <w:rFonts w:ascii="Arial" w:hAnsi="Arial" w:cs="Arial"/>
          <w:lang w:val="en-SG"/>
        </w:rPr>
        <w:t xml:space="preserve">possible reason for the difference in values of income elasticity of demand for electricity in Bangladesh and Australia. </w:t>
      </w:r>
      <w:r>
        <w:rPr>
          <w:rFonts w:ascii="Arial" w:hAnsi="Arial" w:cs="Arial"/>
          <w:lang w:val="en-SG"/>
        </w:rPr>
        <w:tab/>
      </w:r>
      <w:r>
        <w:rPr>
          <w:rFonts w:ascii="Arial" w:hAnsi="Arial" w:cs="Arial"/>
          <w:lang w:val="en-SG"/>
        </w:rPr>
        <w:tab/>
        <w:t xml:space="preserve">   </w:t>
      </w:r>
      <w:r>
        <w:rPr>
          <w:rFonts w:ascii="Arial" w:hAnsi="Arial" w:cs="Arial"/>
          <w:lang w:val="en-SG"/>
        </w:rPr>
        <w:tab/>
      </w:r>
      <w:r>
        <w:rPr>
          <w:rFonts w:ascii="Arial" w:hAnsi="Arial" w:cs="Arial"/>
          <w:lang w:val="en-SG"/>
        </w:rPr>
        <w:tab/>
      </w:r>
      <w:r>
        <w:rPr>
          <w:rFonts w:ascii="Arial" w:hAnsi="Arial" w:cs="Arial"/>
          <w:lang w:val="en-SG"/>
        </w:rPr>
        <w:tab/>
        <w:t xml:space="preserve"> [4]</w:t>
      </w:r>
    </w:p>
    <w:p w14:paraId="7332A89C" w14:textId="77777777" w:rsidR="003E430E" w:rsidRDefault="003E430E" w:rsidP="003E430E">
      <w:pPr>
        <w:autoSpaceDE w:val="0"/>
        <w:autoSpaceDN w:val="0"/>
        <w:adjustRightInd w:val="0"/>
        <w:jc w:val="both"/>
        <w:rPr>
          <w:rFonts w:ascii="Arial" w:hAnsi="Arial" w:cs="Arial"/>
          <w:lang w:val="en-SG"/>
        </w:rPr>
      </w:pPr>
    </w:p>
    <w:p w14:paraId="797B5F0E" w14:textId="77777777" w:rsidR="003E430E" w:rsidRDefault="003E430E" w:rsidP="003E430E">
      <w:pPr>
        <w:autoSpaceDE w:val="0"/>
        <w:autoSpaceDN w:val="0"/>
        <w:adjustRightInd w:val="0"/>
        <w:jc w:val="both"/>
        <w:rPr>
          <w:rFonts w:ascii="Arial" w:hAnsi="Arial" w:cs="Arial"/>
          <w:lang w:val="en-SG"/>
        </w:rPr>
      </w:pPr>
      <w:r>
        <w:rPr>
          <w:rFonts w:ascii="Arial" w:hAnsi="Arial" w:cs="Arial"/>
          <w:lang w:val="en-SG"/>
        </w:rPr>
        <w:t>(d) Both Bangladesh and Singapore invest in infrastructure projects. Discuss how such spending may have different impacts on aggregate demand in these two countries. [8]</w:t>
      </w:r>
    </w:p>
    <w:p w14:paraId="0CFA9BFE" w14:textId="77777777" w:rsidR="003E430E" w:rsidRDefault="003E430E" w:rsidP="003E430E">
      <w:pPr>
        <w:autoSpaceDE w:val="0"/>
        <w:autoSpaceDN w:val="0"/>
        <w:adjustRightInd w:val="0"/>
        <w:jc w:val="both"/>
        <w:rPr>
          <w:rFonts w:ascii="Arial" w:hAnsi="Arial" w:cs="Arial"/>
          <w:lang w:val="en-SG"/>
        </w:rPr>
      </w:pPr>
    </w:p>
    <w:p w14:paraId="053F1527" w14:textId="77777777" w:rsidR="003E430E" w:rsidRPr="00964E16" w:rsidRDefault="003E430E" w:rsidP="003E430E">
      <w:pPr>
        <w:autoSpaceDE w:val="0"/>
        <w:autoSpaceDN w:val="0"/>
        <w:adjustRightInd w:val="0"/>
        <w:jc w:val="both"/>
        <w:rPr>
          <w:rFonts w:ascii="Arial" w:hAnsi="Arial" w:cs="Arial"/>
          <w:lang w:val="en-SG"/>
        </w:rPr>
      </w:pPr>
      <w:r>
        <w:rPr>
          <w:rFonts w:ascii="Arial" w:hAnsi="Arial" w:cs="Arial"/>
          <w:lang w:val="en-SG"/>
        </w:rPr>
        <w:t xml:space="preserve">(e) Discuss whether supply-side policies are the most appropriate policies to achieve inclusive economic growth in Bangladesh. </w:t>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r>
      <w:r>
        <w:rPr>
          <w:rFonts w:ascii="Arial" w:hAnsi="Arial" w:cs="Arial"/>
          <w:lang w:val="en-SG"/>
        </w:rPr>
        <w:tab/>
        <w:t xml:space="preserve">          [10]</w:t>
      </w:r>
    </w:p>
    <w:p w14:paraId="601B1D48" w14:textId="77777777" w:rsidR="003E430E" w:rsidRPr="00964E16" w:rsidRDefault="003E430E" w:rsidP="003E430E">
      <w:pPr>
        <w:autoSpaceDE w:val="0"/>
        <w:autoSpaceDN w:val="0"/>
        <w:adjustRightInd w:val="0"/>
        <w:jc w:val="both"/>
        <w:rPr>
          <w:rFonts w:ascii="Arial" w:hAnsi="Arial" w:cs="Arial"/>
          <w:lang w:val="en-SG"/>
        </w:rPr>
      </w:pPr>
    </w:p>
    <w:p w14:paraId="0B3F4221" w14:textId="77777777" w:rsidR="003E430E" w:rsidRDefault="003E430E" w:rsidP="003E430E">
      <w:pPr>
        <w:autoSpaceDE w:val="0"/>
        <w:autoSpaceDN w:val="0"/>
        <w:adjustRightInd w:val="0"/>
        <w:jc w:val="right"/>
        <w:rPr>
          <w:rFonts w:ascii="Arial" w:hAnsi="Arial" w:cs="Arial"/>
          <w:lang w:val="en-SG"/>
        </w:rPr>
      </w:pPr>
      <w:r>
        <w:rPr>
          <w:rFonts w:ascii="Arial" w:hAnsi="Arial" w:cs="Arial"/>
          <w:lang w:val="en-SG"/>
        </w:rPr>
        <w:t>[Total: 30]</w:t>
      </w:r>
    </w:p>
    <w:p w14:paraId="39A06577" w14:textId="77777777" w:rsidR="008059EB" w:rsidRDefault="008059EB" w:rsidP="008059EB"/>
    <w:p w14:paraId="5961646A" w14:textId="77777777" w:rsidR="00B5040B" w:rsidRPr="008059EB" w:rsidRDefault="00F058B1" w:rsidP="008059EB">
      <w:r w:rsidRPr="008059EB">
        <w:t xml:space="preserve"> </w:t>
      </w:r>
    </w:p>
    <w:sectPr w:rsidR="00B5040B" w:rsidRPr="008059EB" w:rsidSect="000F5B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6489" w14:textId="77777777" w:rsidR="00230817" w:rsidRDefault="00230817" w:rsidP="00566AB3">
      <w:r>
        <w:separator/>
      </w:r>
    </w:p>
  </w:endnote>
  <w:endnote w:type="continuationSeparator" w:id="0">
    <w:p w14:paraId="351BD432" w14:textId="77777777" w:rsidR="00230817" w:rsidRDefault="0023081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A789"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Style w:val="Strong"/>
        <w:rFonts w:ascii="Arial" w:hAnsi="Arial" w:cs="Arial"/>
        <w:sz w:val="14"/>
        <w:szCs w:val="14"/>
        <w:bdr w:val="none" w:sz="0" w:space="0" w:color="auto" w:frame="1"/>
      </w:rPr>
      <w:t>Bishan:</w:t>
    </w:r>
    <w:r w:rsidRPr="007D0F33">
      <w:rPr>
        <w:rFonts w:ascii="Arial" w:hAnsi="Arial" w:cs="Arial"/>
        <w:sz w:val="14"/>
        <w:szCs w:val="14"/>
      </w:rPr>
      <w:t xml:space="preserve"> Blk 283, Bishan Street 22 #01-185 (2</w:t>
    </w:r>
    <w:r w:rsidRPr="007D0F33">
      <w:rPr>
        <w:rFonts w:ascii="Arial" w:hAnsi="Arial" w:cs="Arial"/>
        <w:sz w:val="14"/>
        <w:szCs w:val="14"/>
        <w:vertAlign w:val="superscript"/>
      </w:rPr>
      <w:t>nd</w:t>
    </w:r>
    <w:r w:rsidRPr="007D0F33">
      <w:rPr>
        <w:rFonts w:ascii="Arial" w:hAnsi="Arial" w:cs="Arial"/>
        <w:sz w:val="14"/>
        <w:szCs w:val="14"/>
      </w:rPr>
      <w:t xml:space="preserve"> </w:t>
    </w:r>
    <w:proofErr w:type="spellStart"/>
    <w:r w:rsidRPr="007D0F33">
      <w:rPr>
        <w:rFonts w:ascii="Arial" w:hAnsi="Arial" w:cs="Arial"/>
        <w:sz w:val="14"/>
        <w:szCs w:val="14"/>
      </w:rPr>
      <w:t>Storey</w:t>
    </w:r>
    <w:proofErr w:type="spellEnd"/>
    <w:r w:rsidRPr="007D0F33">
      <w:rPr>
        <w:rFonts w:ascii="Arial" w:hAnsi="Arial" w:cs="Arial"/>
        <w:sz w:val="14"/>
        <w:szCs w:val="14"/>
      </w:rPr>
      <w:t>) Singapore 570283</w:t>
    </w:r>
  </w:p>
  <w:p w14:paraId="2D60FF33"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Fonts w:ascii="Arial" w:hAnsi="Arial" w:cs="Arial"/>
        <w:b/>
        <w:sz w:val="14"/>
        <w:szCs w:val="14"/>
      </w:rPr>
      <w:t xml:space="preserve">Bedok: </w:t>
    </w:r>
    <w:r w:rsidRPr="007D0F33">
      <w:rPr>
        <w:rFonts w:ascii="Arial" w:hAnsi="Arial" w:cs="Arial"/>
        <w:sz w:val="14"/>
        <w:szCs w:val="14"/>
      </w:rPr>
      <w:t>Blk 205, Bedok North Street 1 #01-365 (2</w:t>
    </w:r>
    <w:r w:rsidRPr="007D0F33">
      <w:rPr>
        <w:rFonts w:ascii="Arial" w:hAnsi="Arial" w:cs="Arial"/>
        <w:sz w:val="14"/>
        <w:szCs w:val="14"/>
        <w:vertAlign w:val="superscript"/>
      </w:rPr>
      <w:t>nd</w:t>
    </w:r>
    <w:r w:rsidRPr="007D0F33">
      <w:rPr>
        <w:rFonts w:ascii="Arial" w:hAnsi="Arial" w:cs="Arial"/>
        <w:sz w:val="14"/>
        <w:szCs w:val="14"/>
      </w:rPr>
      <w:t xml:space="preserve"> </w:t>
    </w:r>
    <w:proofErr w:type="spellStart"/>
    <w:r w:rsidRPr="007D0F33">
      <w:rPr>
        <w:rFonts w:ascii="Arial" w:hAnsi="Arial" w:cs="Arial"/>
        <w:sz w:val="14"/>
        <w:szCs w:val="14"/>
      </w:rPr>
      <w:t>Storey</w:t>
    </w:r>
    <w:proofErr w:type="spellEnd"/>
    <w:r w:rsidRPr="007D0F33">
      <w:rPr>
        <w:rFonts w:ascii="Arial" w:hAnsi="Arial" w:cs="Arial"/>
        <w:sz w:val="14"/>
        <w:szCs w:val="14"/>
      </w:rPr>
      <w:t>) Singapore 460205</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8205" w14:textId="77777777" w:rsidR="00230817" w:rsidRDefault="00230817" w:rsidP="00566AB3">
      <w:r>
        <w:separator/>
      </w:r>
    </w:p>
  </w:footnote>
  <w:footnote w:type="continuationSeparator" w:id="0">
    <w:p w14:paraId="3DC01791" w14:textId="77777777" w:rsidR="00230817" w:rsidRDefault="0023081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2AD"/>
    <w:multiLevelType w:val="hybridMultilevel"/>
    <w:tmpl w:val="8416AA64"/>
    <w:lvl w:ilvl="0" w:tplc="D9567B1C">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5763D4"/>
    <w:multiLevelType w:val="hybridMultilevel"/>
    <w:tmpl w:val="021C35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174311"/>
    <w:multiLevelType w:val="hybridMultilevel"/>
    <w:tmpl w:val="ACE2C5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9B0CB8"/>
    <w:multiLevelType w:val="hybridMultilevel"/>
    <w:tmpl w:val="4608F610"/>
    <w:lvl w:ilvl="0" w:tplc="8640D8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34DC7"/>
    <w:multiLevelType w:val="hybridMultilevel"/>
    <w:tmpl w:val="34CA88E0"/>
    <w:lvl w:ilvl="0" w:tplc="2418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34F7C"/>
    <w:multiLevelType w:val="hybridMultilevel"/>
    <w:tmpl w:val="3ED4D8D6"/>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37C8B"/>
    <w:multiLevelType w:val="hybridMultilevel"/>
    <w:tmpl w:val="44D05E8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8" w15:restartNumberingAfterBreak="0">
    <w:nsid w:val="18577998"/>
    <w:multiLevelType w:val="hybridMultilevel"/>
    <w:tmpl w:val="0088C52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8172C8"/>
    <w:multiLevelType w:val="hybridMultilevel"/>
    <w:tmpl w:val="E4C2AD62"/>
    <w:lvl w:ilvl="0" w:tplc="0A00190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F5FD6"/>
    <w:multiLevelType w:val="hybridMultilevel"/>
    <w:tmpl w:val="C21AE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11850"/>
    <w:multiLevelType w:val="hybridMultilevel"/>
    <w:tmpl w:val="76CC0D1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BB1095"/>
    <w:multiLevelType w:val="hybridMultilevel"/>
    <w:tmpl w:val="C4F0C7CA"/>
    <w:lvl w:ilvl="0" w:tplc="03D42A74">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E30EB"/>
    <w:multiLevelType w:val="hybridMultilevel"/>
    <w:tmpl w:val="C4F2F67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AB4809"/>
    <w:multiLevelType w:val="hybridMultilevel"/>
    <w:tmpl w:val="888CC2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896312F"/>
    <w:multiLevelType w:val="hybridMultilevel"/>
    <w:tmpl w:val="20F478FC"/>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16" w15:restartNumberingAfterBreak="0">
    <w:nsid w:val="2A2E58C3"/>
    <w:multiLevelType w:val="hybridMultilevel"/>
    <w:tmpl w:val="F552FB7C"/>
    <w:lvl w:ilvl="0" w:tplc="48090001">
      <w:start w:val="1"/>
      <w:numFmt w:val="bullet"/>
      <w:lvlText w:val=""/>
      <w:lvlJc w:val="left"/>
      <w:pPr>
        <w:tabs>
          <w:tab w:val="num" w:pos="1335"/>
        </w:tabs>
        <w:ind w:left="1335" w:hanging="360"/>
      </w:pPr>
      <w:rPr>
        <w:rFonts w:ascii="Symbol" w:hAnsi="Symbol"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7" w15:restartNumberingAfterBreak="0">
    <w:nsid w:val="2BAB6D65"/>
    <w:multiLevelType w:val="hybridMultilevel"/>
    <w:tmpl w:val="9FA2A520"/>
    <w:lvl w:ilvl="0" w:tplc="C206F832">
      <w:start w:val="1"/>
      <w:numFmt w:val="lowerLetter"/>
      <w:lvlText w:val="%1)"/>
      <w:lvlJc w:val="left"/>
      <w:pPr>
        <w:tabs>
          <w:tab w:val="num" w:pos="1080"/>
        </w:tabs>
        <w:ind w:left="1080" w:hanging="720"/>
      </w:pPr>
      <w:rPr>
        <w:rFonts w:hint="default"/>
      </w:rPr>
    </w:lvl>
    <w:lvl w:ilvl="1" w:tplc="2CD2E71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666AC"/>
    <w:multiLevelType w:val="hybridMultilevel"/>
    <w:tmpl w:val="B6267B0C"/>
    <w:lvl w:ilvl="0" w:tplc="A43AB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B9587C"/>
    <w:multiLevelType w:val="hybridMultilevel"/>
    <w:tmpl w:val="C602C6A2"/>
    <w:lvl w:ilvl="0" w:tplc="C206F832">
      <w:start w:val="1"/>
      <w:numFmt w:val="lowerLetter"/>
      <w:lvlText w:val="%1)"/>
      <w:lvlJc w:val="left"/>
      <w:pPr>
        <w:tabs>
          <w:tab w:val="num" w:pos="1080"/>
        </w:tabs>
        <w:ind w:left="1080" w:hanging="720"/>
      </w:pPr>
      <w:rPr>
        <w:rFonts w:hint="default"/>
      </w:rPr>
    </w:lvl>
    <w:lvl w:ilvl="1" w:tplc="48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F73A72"/>
    <w:multiLevelType w:val="hybridMultilevel"/>
    <w:tmpl w:val="B71E9E5C"/>
    <w:lvl w:ilvl="0" w:tplc="4CEA0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D4655"/>
    <w:multiLevelType w:val="hybridMultilevel"/>
    <w:tmpl w:val="C6E24D22"/>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A67464"/>
    <w:multiLevelType w:val="hybridMultilevel"/>
    <w:tmpl w:val="E6F267DE"/>
    <w:lvl w:ilvl="0" w:tplc="4809000F">
      <w:start w:val="1"/>
      <w:numFmt w:val="decimal"/>
      <w:lvlText w:val="%1."/>
      <w:lvlJc w:val="lef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23" w15:restartNumberingAfterBreak="0">
    <w:nsid w:val="457E48C2"/>
    <w:multiLevelType w:val="hybridMultilevel"/>
    <w:tmpl w:val="E36430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9F56F0A"/>
    <w:multiLevelType w:val="hybridMultilevel"/>
    <w:tmpl w:val="639E2BF0"/>
    <w:lvl w:ilvl="0" w:tplc="48090001">
      <w:start w:val="1"/>
      <w:numFmt w:val="bullet"/>
      <w:lvlText w:val=""/>
      <w:lvlJc w:val="left"/>
      <w:pPr>
        <w:ind w:left="1680" w:hanging="360"/>
      </w:pPr>
      <w:rPr>
        <w:rFonts w:ascii="Symbol" w:hAnsi="Symbol" w:hint="default"/>
      </w:rPr>
    </w:lvl>
    <w:lvl w:ilvl="1" w:tplc="48090003" w:tentative="1">
      <w:start w:val="1"/>
      <w:numFmt w:val="bullet"/>
      <w:lvlText w:val="o"/>
      <w:lvlJc w:val="left"/>
      <w:pPr>
        <w:ind w:left="2400" w:hanging="360"/>
      </w:pPr>
      <w:rPr>
        <w:rFonts w:ascii="Courier New" w:hAnsi="Courier New" w:cs="Courier New" w:hint="default"/>
      </w:rPr>
    </w:lvl>
    <w:lvl w:ilvl="2" w:tplc="48090005" w:tentative="1">
      <w:start w:val="1"/>
      <w:numFmt w:val="bullet"/>
      <w:lvlText w:val=""/>
      <w:lvlJc w:val="left"/>
      <w:pPr>
        <w:ind w:left="3120" w:hanging="360"/>
      </w:pPr>
      <w:rPr>
        <w:rFonts w:ascii="Wingdings" w:hAnsi="Wingdings" w:hint="default"/>
      </w:rPr>
    </w:lvl>
    <w:lvl w:ilvl="3" w:tplc="48090001" w:tentative="1">
      <w:start w:val="1"/>
      <w:numFmt w:val="bullet"/>
      <w:lvlText w:val=""/>
      <w:lvlJc w:val="left"/>
      <w:pPr>
        <w:ind w:left="3840" w:hanging="360"/>
      </w:pPr>
      <w:rPr>
        <w:rFonts w:ascii="Symbol" w:hAnsi="Symbol" w:hint="default"/>
      </w:rPr>
    </w:lvl>
    <w:lvl w:ilvl="4" w:tplc="48090003" w:tentative="1">
      <w:start w:val="1"/>
      <w:numFmt w:val="bullet"/>
      <w:lvlText w:val="o"/>
      <w:lvlJc w:val="left"/>
      <w:pPr>
        <w:ind w:left="4560" w:hanging="360"/>
      </w:pPr>
      <w:rPr>
        <w:rFonts w:ascii="Courier New" w:hAnsi="Courier New" w:cs="Courier New" w:hint="default"/>
      </w:rPr>
    </w:lvl>
    <w:lvl w:ilvl="5" w:tplc="48090005" w:tentative="1">
      <w:start w:val="1"/>
      <w:numFmt w:val="bullet"/>
      <w:lvlText w:val=""/>
      <w:lvlJc w:val="left"/>
      <w:pPr>
        <w:ind w:left="5280" w:hanging="360"/>
      </w:pPr>
      <w:rPr>
        <w:rFonts w:ascii="Wingdings" w:hAnsi="Wingdings" w:hint="default"/>
      </w:rPr>
    </w:lvl>
    <w:lvl w:ilvl="6" w:tplc="48090001" w:tentative="1">
      <w:start w:val="1"/>
      <w:numFmt w:val="bullet"/>
      <w:lvlText w:val=""/>
      <w:lvlJc w:val="left"/>
      <w:pPr>
        <w:ind w:left="6000" w:hanging="360"/>
      </w:pPr>
      <w:rPr>
        <w:rFonts w:ascii="Symbol" w:hAnsi="Symbol" w:hint="default"/>
      </w:rPr>
    </w:lvl>
    <w:lvl w:ilvl="7" w:tplc="48090003" w:tentative="1">
      <w:start w:val="1"/>
      <w:numFmt w:val="bullet"/>
      <w:lvlText w:val="o"/>
      <w:lvlJc w:val="left"/>
      <w:pPr>
        <w:ind w:left="6720" w:hanging="360"/>
      </w:pPr>
      <w:rPr>
        <w:rFonts w:ascii="Courier New" w:hAnsi="Courier New" w:cs="Courier New" w:hint="default"/>
      </w:rPr>
    </w:lvl>
    <w:lvl w:ilvl="8" w:tplc="48090005" w:tentative="1">
      <w:start w:val="1"/>
      <w:numFmt w:val="bullet"/>
      <w:lvlText w:val=""/>
      <w:lvlJc w:val="left"/>
      <w:pPr>
        <w:ind w:left="7440" w:hanging="360"/>
      </w:pPr>
      <w:rPr>
        <w:rFonts w:ascii="Wingdings" w:hAnsi="Wingdings" w:hint="default"/>
      </w:rPr>
    </w:lvl>
  </w:abstractNum>
  <w:abstractNum w:abstractNumId="25"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FBB6E9E"/>
    <w:multiLevelType w:val="hybridMultilevel"/>
    <w:tmpl w:val="CE7CFACC"/>
    <w:lvl w:ilvl="0" w:tplc="491A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D6F1C"/>
    <w:multiLevelType w:val="hybridMultilevel"/>
    <w:tmpl w:val="055E6834"/>
    <w:lvl w:ilvl="0" w:tplc="4FCCD3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EC2CDC"/>
    <w:multiLevelType w:val="hybridMultilevel"/>
    <w:tmpl w:val="7EFAD154"/>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060B2"/>
    <w:multiLevelType w:val="hybridMultilevel"/>
    <w:tmpl w:val="B8AC2C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AE00773"/>
    <w:multiLevelType w:val="hybridMultilevel"/>
    <w:tmpl w:val="26980F56"/>
    <w:lvl w:ilvl="0" w:tplc="98F6B2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59D0AAC"/>
    <w:multiLevelType w:val="hybridMultilevel"/>
    <w:tmpl w:val="EA009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7642515"/>
    <w:multiLevelType w:val="hybridMultilevel"/>
    <w:tmpl w:val="7F880CA4"/>
    <w:lvl w:ilvl="0" w:tplc="2744A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7776D0"/>
    <w:multiLevelType w:val="hybridMultilevel"/>
    <w:tmpl w:val="BC92B4BE"/>
    <w:lvl w:ilvl="0" w:tplc="1A8A8696">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7" w15:restartNumberingAfterBreak="0">
    <w:nsid w:val="6B6716EA"/>
    <w:multiLevelType w:val="hybridMultilevel"/>
    <w:tmpl w:val="B5482A90"/>
    <w:lvl w:ilvl="0" w:tplc="E19815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D6804A8"/>
    <w:multiLevelType w:val="hybridMultilevel"/>
    <w:tmpl w:val="C37AAE0E"/>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9A2A93"/>
    <w:multiLevelType w:val="hybridMultilevel"/>
    <w:tmpl w:val="348E8DB2"/>
    <w:lvl w:ilvl="0" w:tplc="3208A91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A7659C"/>
    <w:multiLevelType w:val="hybridMultilevel"/>
    <w:tmpl w:val="A45615A0"/>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2F41D0"/>
    <w:multiLevelType w:val="hybridMultilevel"/>
    <w:tmpl w:val="EE0C09C0"/>
    <w:lvl w:ilvl="0" w:tplc="23F268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071306"/>
    <w:multiLevelType w:val="hybridMultilevel"/>
    <w:tmpl w:val="E8F0C5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D0D37A1"/>
    <w:multiLevelType w:val="hybridMultilevel"/>
    <w:tmpl w:val="DA64CA58"/>
    <w:lvl w:ilvl="0" w:tplc="4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5"/>
  </w:num>
  <w:num w:numId="3">
    <w:abstractNumId w:val="36"/>
  </w:num>
  <w:num w:numId="4">
    <w:abstractNumId w:val="7"/>
  </w:num>
  <w:num w:numId="5">
    <w:abstractNumId w:val="4"/>
  </w:num>
  <w:num w:numId="6">
    <w:abstractNumId w:val="18"/>
  </w:num>
  <w:num w:numId="7">
    <w:abstractNumId w:val="9"/>
  </w:num>
  <w:num w:numId="8">
    <w:abstractNumId w:val="12"/>
  </w:num>
  <w:num w:numId="9">
    <w:abstractNumId w:val="39"/>
  </w:num>
  <w:num w:numId="10">
    <w:abstractNumId w:val="11"/>
  </w:num>
  <w:num w:numId="11">
    <w:abstractNumId w:val="10"/>
  </w:num>
  <w:num w:numId="12">
    <w:abstractNumId w:val="17"/>
  </w:num>
  <w:num w:numId="13">
    <w:abstractNumId w:val="28"/>
  </w:num>
  <w:num w:numId="14">
    <w:abstractNumId w:val="41"/>
  </w:num>
  <w:num w:numId="15">
    <w:abstractNumId w:val="20"/>
  </w:num>
  <w:num w:numId="16">
    <w:abstractNumId w:val="27"/>
  </w:num>
  <w:num w:numId="17">
    <w:abstractNumId w:val="3"/>
  </w:num>
  <w:num w:numId="18">
    <w:abstractNumId w:val="33"/>
  </w:num>
  <w:num w:numId="19">
    <w:abstractNumId w:val="1"/>
  </w:num>
  <w:num w:numId="20">
    <w:abstractNumId w:val="2"/>
  </w:num>
  <w:num w:numId="21">
    <w:abstractNumId w:val="14"/>
  </w:num>
  <w:num w:numId="22">
    <w:abstractNumId w:val="32"/>
  </w:num>
  <w:num w:numId="23">
    <w:abstractNumId w:val="15"/>
  </w:num>
  <w:num w:numId="24">
    <w:abstractNumId w:val="24"/>
  </w:num>
  <w:num w:numId="25">
    <w:abstractNumId w:val="16"/>
  </w:num>
  <w:num w:numId="26">
    <w:abstractNumId w:val="23"/>
  </w:num>
  <w:num w:numId="27">
    <w:abstractNumId w:val="34"/>
  </w:num>
  <w:num w:numId="28">
    <w:abstractNumId w:val="22"/>
  </w:num>
  <w:num w:numId="29">
    <w:abstractNumId w:val="30"/>
  </w:num>
  <w:num w:numId="30">
    <w:abstractNumId w:val="19"/>
  </w:num>
  <w:num w:numId="31">
    <w:abstractNumId w:val="40"/>
  </w:num>
  <w:num w:numId="32">
    <w:abstractNumId w:val="21"/>
  </w:num>
  <w:num w:numId="33">
    <w:abstractNumId w:val="29"/>
  </w:num>
  <w:num w:numId="34">
    <w:abstractNumId w:val="5"/>
  </w:num>
  <w:num w:numId="35">
    <w:abstractNumId w:val="13"/>
  </w:num>
  <w:num w:numId="36">
    <w:abstractNumId w:val="38"/>
  </w:num>
  <w:num w:numId="37">
    <w:abstractNumId w:val="43"/>
  </w:num>
  <w:num w:numId="38">
    <w:abstractNumId w:val="6"/>
  </w:num>
  <w:num w:numId="39">
    <w:abstractNumId w:val="42"/>
  </w:num>
  <w:num w:numId="40">
    <w:abstractNumId w:val="8"/>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66EF9"/>
    <w:rsid w:val="000A4E14"/>
    <w:rsid w:val="000C2227"/>
    <w:rsid w:val="000E319A"/>
    <w:rsid w:val="000F3ED5"/>
    <w:rsid w:val="000F5BCF"/>
    <w:rsid w:val="00167F39"/>
    <w:rsid w:val="00230817"/>
    <w:rsid w:val="00237B2C"/>
    <w:rsid w:val="00242AD8"/>
    <w:rsid w:val="0024383C"/>
    <w:rsid w:val="002D4039"/>
    <w:rsid w:val="002E71DB"/>
    <w:rsid w:val="002F070E"/>
    <w:rsid w:val="002F2A29"/>
    <w:rsid w:val="00366349"/>
    <w:rsid w:val="00371994"/>
    <w:rsid w:val="003E430E"/>
    <w:rsid w:val="0042072D"/>
    <w:rsid w:val="004D2C75"/>
    <w:rsid w:val="004F4B42"/>
    <w:rsid w:val="004F523F"/>
    <w:rsid w:val="0051795C"/>
    <w:rsid w:val="0054257C"/>
    <w:rsid w:val="00566AB3"/>
    <w:rsid w:val="00591821"/>
    <w:rsid w:val="005D369A"/>
    <w:rsid w:val="005E2F04"/>
    <w:rsid w:val="005F7A55"/>
    <w:rsid w:val="00610395"/>
    <w:rsid w:val="00624855"/>
    <w:rsid w:val="00665A31"/>
    <w:rsid w:val="00666030"/>
    <w:rsid w:val="00683E54"/>
    <w:rsid w:val="006F1BD5"/>
    <w:rsid w:val="006F72F3"/>
    <w:rsid w:val="00713515"/>
    <w:rsid w:val="00721D90"/>
    <w:rsid w:val="00735AEF"/>
    <w:rsid w:val="007622C3"/>
    <w:rsid w:val="00773A7B"/>
    <w:rsid w:val="007C39F5"/>
    <w:rsid w:val="007C3E79"/>
    <w:rsid w:val="008059EB"/>
    <w:rsid w:val="00810BA3"/>
    <w:rsid w:val="0082223B"/>
    <w:rsid w:val="00862EE1"/>
    <w:rsid w:val="008A063A"/>
    <w:rsid w:val="00964E16"/>
    <w:rsid w:val="009677F4"/>
    <w:rsid w:val="0098585D"/>
    <w:rsid w:val="009B23EC"/>
    <w:rsid w:val="009D333F"/>
    <w:rsid w:val="00A00A95"/>
    <w:rsid w:val="00A2101D"/>
    <w:rsid w:val="00A22544"/>
    <w:rsid w:val="00A51728"/>
    <w:rsid w:val="00A93CA3"/>
    <w:rsid w:val="00AA1CD8"/>
    <w:rsid w:val="00AD7502"/>
    <w:rsid w:val="00AF1D50"/>
    <w:rsid w:val="00B115CA"/>
    <w:rsid w:val="00B21386"/>
    <w:rsid w:val="00B31FD4"/>
    <w:rsid w:val="00B341EE"/>
    <w:rsid w:val="00B42A26"/>
    <w:rsid w:val="00B5040B"/>
    <w:rsid w:val="00BE1D45"/>
    <w:rsid w:val="00C52AB9"/>
    <w:rsid w:val="00C748DF"/>
    <w:rsid w:val="00CA53BB"/>
    <w:rsid w:val="00CD6964"/>
    <w:rsid w:val="00CF0F97"/>
    <w:rsid w:val="00D11632"/>
    <w:rsid w:val="00D63155"/>
    <w:rsid w:val="00D936F8"/>
    <w:rsid w:val="00DB65C9"/>
    <w:rsid w:val="00E1305F"/>
    <w:rsid w:val="00E13CDC"/>
    <w:rsid w:val="00E25FB8"/>
    <w:rsid w:val="00E4255F"/>
    <w:rsid w:val="00E563CD"/>
    <w:rsid w:val="00E56925"/>
    <w:rsid w:val="00EA391F"/>
    <w:rsid w:val="00EC3997"/>
    <w:rsid w:val="00F058B1"/>
    <w:rsid w:val="00F4216C"/>
    <w:rsid w:val="00F87A35"/>
    <w:rsid w:val="00FC4D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99"/>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 Chin Sun</cp:lastModifiedBy>
  <cp:revision>2</cp:revision>
  <cp:lastPrinted>2016-11-15T02:12:00Z</cp:lastPrinted>
  <dcterms:created xsi:type="dcterms:W3CDTF">2021-05-23T02:28:00Z</dcterms:created>
  <dcterms:modified xsi:type="dcterms:W3CDTF">2021-05-23T02:28:00Z</dcterms:modified>
</cp:coreProperties>
</file>