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83B7" w14:textId="023A8973" w:rsidR="00236A14" w:rsidRPr="00000E4C" w:rsidRDefault="00236A14" w:rsidP="00236A14">
      <w:pPr>
        <w:rPr>
          <w:rFonts w:ascii="Arial" w:hAnsi="Arial" w:cs="Arial"/>
          <w:bCs/>
          <w:sz w:val="24"/>
          <w:szCs w:val="24"/>
        </w:rPr>
      </w:pPr>
      <w:r w:rsidRPr="00007E0C">
        <w:rPr>
          <w:rFonts w:ascii="Arial" w:hAnsi="Arial" w:cs="Arial"/>
          <w:b/>
          <w:sz w:val="24"/>
          <w:szCs w:val="24"/>
        </w:rPr>
        <w:t>Question 2</w:t>
      </w:r>
      <w:r>
        <w:rPr>
          <w:rFonts w:ascii="Arial" w:hAnsi="Arial" w:cs="Arial"/>
          <w:b/>
          <w:sz w:val="24"/>
          <w:szCs w:val="24"/>
        </w:rPr>
        <w:t xml:space="preserve"> </w:t>
      </w:r>
      <w:r>
        <w:rPr>
          <w:rFonts w:ascii="Arial" w:hAnsi="Arial" w:cs="Arial"/>
          <w:b/>
          <w:sz w:val="24"/>
          <w:szCs w:val="24"/>
        </w:rPr>
        <w:tab/>
        <w:t xml:space="preserve"> </w:t>
      </w:r>
      <w:r>
        <w:rPr>
          <w:rFonts w:ascii="Arial" w:hAnsi="Arial" w:cs="Arial"/>
          <w:b/>
          <w:sz w:val="24"/>
          <w:szCs w:val="24"/>
        </w:rPr>
        <w:tab/>
      </w:r>
      <w:r w:rsidRPr="00007E0C">
        <w:rPr>
          <w:rFonts w:ascii="Arial" w:eastAsia="Times New Roman" w:hAnsi="Arial" w:cs="Arial"/>
          <w:b/>
          <w:sz w:val="24"/>
          <w:szCs w:val="24"/>
          <w:lang w:bidi="ta-IN"/>
        </w:rPr>
        <w:t xml:space="preserve">Economic </w:t>
      </w:r>
      <w:r>
        <w:rPr>
          <w:rFonts w:ascii="Arial" w:eastAsia="Times New Roman" w:hAnsi="Arial" w:cs="Arial"/>
          <w:b/>
          <w:sz w:val="24"/>
          <w:szCs w:val="24"/>
          <w:lang w:bidi="ta-IN"/>
        </w:rPr>
        <w:t>ch</w:t>
      </w:r>
      <w:r w:rsidRPr="00007E0C">
        <w:rPr>
          <w:rFonts w:ascii="Arial" w:eastAsia="Times New Roman" w:hAnsi="Arial" w:cs="Arial"/>
          <w:b/>
          <w:sz w:val="24"/>
          <w:szCs w:val="24"/>
          <w:lang w:bidi="ta-IN"/>
        </w:rPr>
        <w:t>allenges in different economies</w:t>
      </w:r>
    </w:p>
    <w:p w14:paraId="00F0D276" w14:textId="77777777" w:rsidR="00236A14" w:rsidRPr="00857611" w:rsidRDefault="00236A14" w:rsidP="00236A14">
      <w:pPr>
        <w:spacing w:after="0" w:line="240" w:lineRule="auto"/>
        <w:jc w:val="both"/>
        <w:rPr>
          <w:rFonts w:ascii="Arial" w:eastAsia="Times New Roman" w:hAnsi="Arial" w:cs="Arial"/>
          <w:b/>
          <w:sz w:val="24"/>
          <w:szCs w:val="24"/>
          <w:lang w:bidi="ta-IN"/>
        </w:rPr>
      </w:pPr>
    </w:p>
    <w:p w14:paraId="31C69737" w14:textId="77777777" w:rsidR="00236A14" w:rsidRPr="00857611" w:rsidRDefault="00236A14" w:rsidP="00236A14">
      <w:pPr>
        <w:spacing w:after="0" w:line="240" w:lineRule="auto"/>
        <w:jc w:val="both"/>
        <w:rPr>
          <w:rFonts w:ascii="Arial" w:eastAsia="Times New Roman" w:hAnsi="Arial" w:cs="Arial"/>
          <w:b/>
          <w:sz w:val="24"/>
          <w:szCs w:val="24"/>
          <w:lang w:bidi="ta-IN"/>
        </w:rPr>
      </w:pPr>
      <w:r w:rsidRPr="00857611">
        <w:rPr>
          <w:rFonts w:ascii="Arial" w:eastAsia="Times New Roman" w:hAnsi="Arial" w:cs="Arial"/>
          <w:b/>
          <w:sz w:val="24"/>
          <w:szCs w:val="24"/>
          <w:lang w:bidi="ta-IN"/>
        </w:rPr>
        <w:t xml:space="preserve">Extract 5: </w:t>
      </w:r>
      <w:r w:rsidRPr="00857611">
        <w:rPr>
          <w:rFonts w:ascii="Arial" w:eastAsia="Times New Roman" w:hAnsi="Arial" w:cs="Arial"/>
          <w:b/>
          <w:noProof/>
          <w:sz w:val="24"/>
          <w:szCs w:val="24"/>
          <w:lang w:bidi="ta-IN"/>
        </w:rPr>
        <w:t>US</w:t>
      </w:r>
      <w:r w:rsidRPr="00857611">
        <w:rPr>
          <w:rFonts w:ascii="Arial" w:eastAsia="Times New Roman" w:hAnsi="Arial" w:cs="Arial"/>
          <w:b/>
          <w:sz w:val="24"/>
          <w:szCs w:val="24"/>
          <w:lang w:bidi="ta-IN"/>
        </w:rPr>
        <w:t xml:space="preserve"> hiked interest rate for the first time since 2006</w:t>
      </w:r>
    </w:p>
    <w:p w14:paraId="2AA3E21D" w14:textId="77777777" w:rsidR="00236A14" w:rsidRPr="003A4880" w:rsidRDefault="00236A14" w:rsidP="00236A14">
      <w:pPr>
        <w:pStyle w:val="NormalWeb"/>
        <w:spacing w:before="0" w:beforeAutospacing="0" w:after="0" w:afterAutospacing="0"/>
        <w:jc w:val="both"/>
        <w:rPr>
          <w:rFonts w:ascii="Arial" w:hAnsi="Arial" w:cs="Arial"/>
          <w:sz w:val="20"/>
          <w:szCs w:val="20"/>
        </w:rPr>
      </w:pPr>
    </w:p>
    <w:p w14:paraId="6C263C4D" w14:textId="77777777" w:rsidR="00236A14" w:rsidRPr="00857611" w:rsidRDefault="00236A14" w:rsidP="00236A14">
      <w:pPr>
        <w:shd w:val="clear" w:color="auto" w:fill="FFFFFF"/>
        <w:spacing w:after="0" w:line="240" w:lineRule="auto"/>
        <w:jc w:val="both"/>
        <w:rPr>
          <w:rFonts w:ascii="Arial" w:eastAsia="Times New Roman" w:hAnsi="Arial" w:cs="Arial"/>
          <w:sz w:val="24"/>
          <w:szCs w:val="24"/>
          <w:lang w:bidi="ta-IN"/>
        </w:rPr>
      </w:pPr>
      <w:r w:rsidRPr="00857611">
        <w:rPr>
          <w:rFonts w:ascii="Arial" w:eastAsia="Times New Roman" w:hAnsi="Arial" w:cs="Arial"/>
          <w:sz w:val="24"/>
          <w:szCs w:val="24"/>
          <w:lang w:bidi="ta-IN"/>
        </w:rPr>
        <w:t>The US Federal Reserve (Fed) hiked interest rate for the first time in nearly a decade, signalling faith that the US economy had largely overcome the 2008 financial crisis.</w:t>
      </w:r>
    </w:p>
    <w:p w14:paraId="11E43C4A" w14:textId="77777777" w:rsidR="00236A14" w:rsidRPr="00857611" w:rsidRDefault="00236A14" w:rsidP="00236A14">
      <w:pPr>
        <w:shd w:val="clear" w:color="auto" w:fill="FFFFFF"/>
        <w:spacing w:after="0" w:line="240" w:lineRule="auto"/>
        <w:jc w:val="both"/>
        <w:rPr>
          <w:rFonts w:ascii="Arial" w:eastAsia="Times New Roman" w:hAnsi="Arial" w:cs="Arial"/>
          <w:sz w:val="24"/>
          <w:szCs w:val="24"/>
          <w:lang w:bidi="ta-IN"/>
        </w:rPr>
      </w:pPr>
    </w:p>
    <w:p w14:paraId="7BE9AABC" w14:textId="77777777" w:rsidR="00236A14" w:rsidRPr="00857611" w:rsidRDefault="00236A14" w:rsidP="00236A14">
      <w:pPr>
        <w:shd w:val="clear" w:color="auto" w:fill="FFFFFF"/>
        <w:spacing w:after="0" w:line="240" w:lineRule="auto"/>
        <w:jc w:val="both"/>
        <w:rPr>
          <w:rFonts w:ascii="Arial" w:eastAsia="Times New Roman" w:hAnsi="Arial" w:cs="Arial"/>
          <w:sz w:val="24"/>
          <w:szCs w:val="24"/>
          <w:lang w:bidi="ta-IN"/>
        </w:rPr>
      </w:pPr>
      <w:r w:rsidRPr="00857611">
        <w:rPr>
          <w:rFonts w:ascii="Arial" w:eastAsia="Times New Roman" w:hAnsi="Arial" w:cs="Arial"/>
          <w:sz w:val="24"/>
          <w:szCs w:val="24"/>
          <w:lang w:bidi="ta-IN"/>
        </w:rPr>
        <w:t>The Fed raised interest rate by 0.25 per cent in view of the projected rise in the rate of inflation to 2% in the medium term. With the economy performing well and expected to continue to do so, the Fed committee judges that a modest increase in the interest rate is appropriate. "Policy remains accommodative," Fed Chairman, Yellen said. "The US economy has shown considerable strength. Domestic consumer spending has continued to rise and investment by firms have risen”.</w:t>
      </w:r>
    </w:p>
    <w:p w14:paraId="4E47F5EB" w14:textId="77777777" w:rsidR="00236A14" w:rsidRPr="00857611" w:rsidRDefault="00236A14" w:rsidP="00236A14">
      <w:pPr>
        <w:shd w:val="clear" w:color="auto" w:fill="FFFFFF"/>
        <w:spacing w:after="0" w:line="240" w:lineRule="auto"/>
        <w:jc w:val="right"/>
        <w:rPr>
          <w:rFonts w:ascii="Arial" w:eastAsia="Times New Roman" w:hAnsi="Arial" w:cs="Arial"/>
          <w:b/>
          <w:i/>
          <w:iCs/>
          <w:lang w:bidi="ta-IN"/>
        </w:rPr>
      </w:pPr>
      <w:r w:rsidRPr="00857611">
        <w:rPr>
          <w:rFonts w:ascii="Arial" w:eastAsia="Times New Roman" w:hAnsi="Arial" w:cs="Arial"/>
          <w:i/>
          <w:iCs/>
          <w:lang w:bidi="ta-IN"/>
        </w:rPr>
        <w:t xml:space="preserve">Adapted from Reuters, 16 Dec 2015 </w:t>
      </w:r>
    </w:p>
    <w:p w14:paraId="39B20985" w14:textId="77777777" w:rsidR="00236A14" w:rsidRPr="00065E52" w:rsidRDefault="00236A14" w:rsidP="00236A14">
      <w:pPr>
        <w:spacing w:after="0" w:line="240" w:lineRule="auto"/>
        <w:jc w:val="both"/>
        <w:rPr>
          <w:rFonts w:ascii="Arial" w:eastAsia="Times New Roman" w:hAnsi="Arial" w:cs="Arial"/>
          <w:b/>
          <w:lang w:bidi="ta-IN"/>
        </w:rPr>
      </w:pPr>
    </w:p>
    <w:p w14:paraId="7E24024A" w14:textId="77777777" w:rsidR="00236A14" w:rsidRPr="00857611" w:rsidRDefault="00236A14" w:rsidP="00236A14">
      <w:pPr>
        <w:spacing w:after="0" w:line="240" w:lineRule="auto"/>
        <w:jc w:val="both"/>
        <w:rPr>
          <w:rFonts w:ascii="Arial" w:eastAsia="Times New Roman" w:hAnsi="Arial" w:cs="Arial"/>
          <w:b/>
          <w:sz w:val="24"/>
          <w:szCs w:val="24"/>
          <w:lang w:bidi="ta-IN"/>
        </w:rPr>
      </w:pPr>
      <w:r w:rsidRPr="00857611">
        <w:rPr>
          <w:rFonts w:ascii="Arial" w:eastAsia="Times New Roman" w:hAnsi="Arial" w:cs="Arial"/>
          <w:b/>
          <w:sz w:val="24"/>
          <w:szCs w:val="24"/>
          <w:lang w:bidi="ta-IN"/>
        </w:rPr>
        <w:t>Extract 6: China takes steps to transit to a knowledge-based economy</w:t>
      </w:r>
    </w:p>
    <w:p w14:paraId="4678BBF5" w14:textId="77777777" w:rsidR="00236A14" w:rsidRPr="00857611" w:rsidRDefault="00236A14" w:rsidP="00236A14">
      <w:pPr>
        <w:spacing w:after="0" w:line="240" w:lineRule="auto"/>
        <w:jc w:val="both"/>
        <w:rPr>
          <w:rFonts w:ascii="Arial" w:eastAsia="Times New Roman" w:hAnsi="Arial" w:cs="Arial"/>
          <w:b/>
          <w:sz w:val="24"/>
          <w:szCs w:val="24"/>
          <w:lang w:bidi="ta-IN"/>
        </w:rPr>
      </w:pPr>
    </w:p>
    <w:p w14:paraId="20CF6F36" w14:textId="77777777" w:rsidR="00236A14" w:rsidRPr="00857611" w:rsidRDefault="00236A14" w:rsidP="00236A14">
      <w:pPr>
        <w:spacing w:after="0" w:line="240" w:lineRule="auto"/>
        <w:jc w:val="both"/>
        <w:rPr>
          <w:rFonts w:ascii="Arial" w:eastAsia="Times New Roman" w:hAnsi="Arial" w:cs="Arial"/>
          <w:sz w:val="24"/>
          <w:szCs w:val="24"/>
          <w:lang w:bidi="ta-IN"/>
        </w:rPr>
      </w:pPr>
      <w:r w:rsidRPr="00857611">
        <w:rPr>
          <w:rFonts w:ascii="Arial" w:eastAsia="Times New Roman" w:hAnsi="Arial" w:cs="Arial"/>
          <w:sz w:val="24"/>
          <w:szCs w:val="24"/>
          <w:lang w:bidi="ta-IN"/>
        </w:rPr>
        <w:t xml:space="preserve">China posted its weakest economic growth in the fourth quarter of 2015, adding pressure on policymakers to take more steps to ward off a sharper slowdown that could jolt global markets. </w:t>
      </w:r>
    </w:p>
    <w:p w14:paraId="50EA2FDA" w14:textId="77777777" w:rsidR="00236A14" w:rsidRPr="00857611" w:rsidRDefault="00236A14" w:rsidP="00236A14">
      <w:pPr>
        <w:spacing w:after="0" w:line="240" w:lineRule="auto"/>
        <w:jc w:val="both"/>
        <w:rPr>
          <w:rFonts w:ascii="Arial" w:eastAsia="Times New Roman" w:hAnsi="Arial" w:cs="Arial"/>
          <w:sz w:val="24"/>
          <w:szCs w:val="24"/>
          <w:lang w:bidi="ta-IN"/>
        </w:rPr>
      </w:pPr>
    </w:p>
    <w:p w14:paraId="433A91BE" w14:textId="77777777" w:rsidR="00236A14" w:rsidRPr="00857611" w:rsidRDefault="00236A14" w:rsidP="00236A14">
      <w:pPr>
        <w:spacing w:after="0" w:line="240" w:lineRule="auto"/>
        <w:jc w:val="both"/>
        <w:rPr>
          <w:rFonts w:ascii="Arial" w:eastAsia="Times New Roman" w:hAnsi="Arial" w:cs="Arial"/>
          <w:sz w:val="24"/>
          <w:szCs w:val="24"/>
          <w:lang w:bidi="ta-IN"/>
        </w:rPr>
      </w:pPr>
      <w:r w:rsidRPr="00857611">
        <w:rPr>
          <w:rFonts w:ascii="Arial" w:eastAsia="Times New Roman" w:hAnsi="Arial" w:cs="Arial"/>
          <w:sz w:val="24"/>
          <w:szCs w:val="24"/>
          <w:lang w:bidi="ta-IN"/>
        </w:rPr>
        <w:t>The government could widen the budget deficit to about 3 percent this year as leaders turn to tax cuts and increased spending on infrastructure to support growth. While the government is expected to lean more on fiscal policy to support growth this year, the central bank may still need to ease monetary policy to help cushion the impact of structural reforms on the economy. The central bank has already cut interest rates six times since November 2014 to spur economic growth.</w:t>
      </w:r>
    </w:p>
    <w:p w14:paraId="38F5EDCE" w14:textId="77777777" w:rsidR="00236A14" w:rsidRPr="003A4880" w:rsidRDefault="00236A14" w:rsidP="00236A14">
      <w:pPr>
        <w:spacing w:after="0" w:line="240" w:lineRule="auto"/>
        <w:jc w:val="both"/>
        <w:rPr>
          <w:rFonts w:ascii="Arial" w:eastAsia="Times New Roman" w:hAnsi="Arial" w:cs="Arial"/>
          <w:sz w:val="20"/>
          <w:szCs w:val="20"/>
          <w:lang w:bidi="ta-IN"/>
        </w:rPr>
      </w:pPr>
    </w:p>
    <w:p w14:paraId="4DB0D220" w14:textId="77777777" w:rsidR="00236A14" w:rsidRPr="00857611" w:rsidRDefault="00236A14" w:rsidP="00236A14">
      <w:pPr>
        <w:jc w:val="both"/>
        <w:rPr>
          <w:rFonts w:ascii="Arial" w:eastAsia="Times New Roman" w:hAnsi="Arial" w:cs="Arial"/>
          <w:sz w:val="24"/>
          <w:szCs w:val="24"/>
          <w:lang w:bidi="ta-IN"/>
        </w:rPr>
      </w:pPr>
      <w:r w:rsidRPr="00857611">
        <w:rPr>
          <w:rFonts w:ascii="Arial" w:eastAsia="Times New Roman" w:hAnsi="Arial" w:cs="Arial"/>
          <w:sz w:val="24"/>
          <w:szCs w:val="24"/>
          <w:lang w:bidi="ta-IN"/>
        </w:rPr>
        <w:t>China intends to transit to a knowledge-based economy by encouraging its organizations and people to acquire, create and use knowledge more effectively for greater economic and social development. Strong economic incentives and institutions are required to enable organizations and people to adjust to changing opportunities in flexible and innovative ways.</w:t>
      </w:r>
    </w:p>
    <w:p w14:paraId="1379EABF" w14:textId="77777777" w:rsidR="00236A14" w:rsidRPr="00857611" w:rsidRDefault="00236A14" w:rsidP="00236A14">
      <w:pPr>
        <w:spacing w:after="0" w:line="240" w:lineRule="auto"/>
        <w:jc w:val="both"/>
        <w:rPr>
          <w:rFonts w:ascii="Arial" w:hAnsi="Arial" w:cs="Arial"/>
          <w:sz w:val="24"/>
          <w:szCs w:val="24"/>
          <w:lang w:bidi="ta-IN"/>
        </w:rPr>
      </w:pPr>
      <w:r w:rsidRPr="00857611">
        <w:rPr>
          <w:rFonts w:ascii="Arial" w:eastAsia="Times New Roman" w:hAnsi="Arial" w:cs="Arial"/>
          <w:sz w:val="24"/>
          <w:szCs w:val="24"/>
          <w:lang w:bidi="ta-IN"/>
        </w:rPr>
        <w:t xml:space="preserve">The government plans to push forward “supply-side reforms” by cutting corporate tax, upgrading the information and communication technology (ICT) and R&amp;D </w:t>
      </w:r>
      <w:r w:rsidRPr="00857611">
        <w:rPr>
          <w:rFonts w:ascii="Arial" w:eastAsia="Times New Roman" w:hAnsi="Arial" w:cs="Arial"/>
          <w:bCs/>
          <w:sz w:val="24"/>
          <w:szCs w:val="24"/>
          <w:lang w:bidi="ta-IN"/>
        </w:rPr>
        <w:t>infrastructure</w:t>
      </w:r>
      <w:r w:rsidRPr="00857611">
        <w:rPr>
          <w:rFonts w:ascii="Arial" w:hAnsi="Arial" w:cs="Arial"/>
          <w:sz w:val="24"/>
          <w:szCs w:val="24"/>
          <w:shd w:val="clear" w:color="auto" w:fill="F9F9F9"/>
        </w:rPr>
        <w:t xml:space="preserve"> and removing barriers to encourage domestic entrepreneurship and foreign direct investment in the services sector. </w:t>
      </w:r>
      <w:r w:rsidRPr="00857611">
        <w:rPr>
          <w:rFonts w:ascii="Arial" w:eastAsia="Times New Roman" w:hAnsi="Arial" w:cs="Arial"/>
          <w:sz w:val="24"/>
          <w:szCs w:val="24"/>
          <w:lang w:bidi="ta-IN"/>
        </w:rPr>
        <w:t xml:space="preserve">There is a need to establish </w:t>
      </w:r>
      <w:r w:rsidRPr="00857611">
        <w:rPr>
          <w:rFonts w:ascii="Arial" w:eastAsia="Times New Roman" w:hAnsi="Arial" w:cs="Arial"/>
          <w:noProof/>
          <w:sz w:val="24"/>
          <w:szCs w:val="24"/>
          <w:lang w:bidi="ta-IN"/>
        </w:rPr>
        <w:t>clear</w:t>
      </w:r>
      <w:r w:rsidRPr="00857611">
        <w:rPr>
          <w:rFonts w:ascii="Arial" w:eastAsia="Times New Roman" w:hAnsi="Arial" w:cs="Arial"/>
          <w:sz w:val="24"/>
          <w:szCs w:val="24"/>
          <w:lang w:bidi="ta-IN"/>
        </w:rPr>
        <w:t xml:space="preserve"> rule of law and property rights. </w:t>
      </w:r>
      <w:r w:rsidRPr="00857611">
        <w:rPr>
          <w:rFonts w:ascii="Arial" w:hAnsi="Arial" w:cs="Arial"/>
          <w:sz w:val="24"/>
          <w:szCs w:val="24"/>
          <w:shd w:val="clear" w:color="auto" w:fill="F9F9F9"/>
        </w:rPr>
        <w:t xml:space="preserve">They also strive to privatize </w:t>
      </w:r>
      <w:r w:rsidRPr="00857611">
        <w:rPr>
          <w:rFonts w:ascii="Arial" w:eastAsia="Times New Roman" w:hAnsi="Arial" w:cs="Arial"/>
          <w:sz w:val="24"/>
          <w:szCs w:val="24"/>
          <w:lang w:bidi="ta-IN"/>
        </w:rPr>
        <w:t>big, highly inefficient state-owned enterprises into market-oriented institutions.</w:t>
      </w:r>
    </w:p>
    <w:p w14:paraId="472F620D" w14:textId="77777777" w:rsidR="00236A14" w:rsidRPr="003A4880" w:rsidRDefault="00236A14" w:rsidP="00236A14">
      <w:pPr>
        <w:spacing w:after="0" w:line="240" w:lineRule="auto"/>
        <w:jc w:val="both"/>
        <w:rPr>
          <w:rFonts w:ascii="Arial" w:hAnsi="Arial" w:cs="Arial"/>
          <w:sz w:val="20"/>
          <w:szCs w:val="20"/>
          <w:lang w:bidi="ta-IN"/>
        </w:rPr>
      </w:pPr>
    </w:p>
    <w:p w14:paraId="7FD15D31" w14:textId="77777777" w:rsidR="00236A14" w:rsidRPr="00857611" w:rsidRDefault="00236A14" w:rsidP="00236A14">
      <w:pPr>
        <w:spacing w:after="0" w:line="240" w:lineRule="auto"/>
        <w:jc w:val="both"/>
        <w:rPr>
          <w:rFonts w:ascii="Arial" w:eastAsia="Times New Roman" w:hAnsi="Arial" w:cs="Arial"/>
          <w:sz w:val="24"/>
          <w:szCs w:val="24"/>
          <w:lang w:bidi="ta-IN"/>
        </w:rPr>
      </w:pPr>
      <w:r w:rsidRPr="00857611">
        <w:rPr>
          <w:rFonts w:ascii="Arial" w:eastAsia="Times New Roman" w:hAnsi="Arial" w:cs="Arial"/>
          <w:sz w:val="24"/>
          <w:szCs w:val="24"/>
          <w:lang w:bidi="ta-IN"/>
        </w:rPr>
        <w:t xml:space="preserve">In the short term, the critical challenge for China is to ensure a smooth and efficient transition, minimizing unemployment that will inevitably result from the restructuring. </w:t>
      </w:r>
      <w:r w:rsidRPr="00857611">
        <w:rPr>
          <w:rFonts w:ascii="Arial" w:hAnsi="Arial" w:cs="Arial"/>
          <w:sz w:val="24"/>
          <w:szCs w:val="24"/>
          <w:lang w:bidi="ta-IN"/>
        </w:rPr>
        <w:t xml:space="preserve">Retraining also needs to be provided for millions of workers that may be displaced. Even though literacy rates had soared due to government’s increased spending on education, there is still overemphasis on knowledge transfer rather than the development of imaginative and creative capabilities. This has proved to be a major hindrance to its education reforms. </w:t>
      </w:r>
    </w:p>
    <w:p w14:paraId="1DF12427" w14:textId="77777777" w:rsidR="00236A14" w:rsidRPr="00065E52" w:rsidRDefault="00236A14" w:rsidP="00236A14">
      <w:pPr>
        <w:spacing w:after="0" w:line="240" w:lineRule="auto"/>
        <w:jc w:val="right"/>
        <w:rPr>
          <w:rFonts w:ascii="Arial" w:hAnsi="Arial" w:cs="Arial"/>
          <w:i/>
          <w:sz w:val="12"/>
          <w:szCs w:val="12"/>
        </w:rPr>
      </w:pPr>
    </w:p>
    <w:p w14:paraId="4704AFAE" w14:textId="77777777" w:rsidR="00236A14" w:rsidRPr="00857611" w:rsidRDefault="00236A14" w:rsidP="00236A14">
      <w:pPr>
        <w:spacing w:after="0" w:line="240" w:lineRule="auto"/>
        <w:jc w:val="right"/>
        <w:rPr>
          <w:rFonts w:ascii="Arial" w:hAnsi="Arial" w:cs="Arial"/>
          <w:i/>
        </w:rPr>
      </w:pPr>
      <w:r w:rsidRPr="00857611">
        <w:rPr>
          <w:rFonts w:ascii="Arial" w:hAnsi="Arial" w:cs="Arial"/>
          <w:i/>
        </w:rPr>
        <w:t>Adapted from Asian Development Bank, World Bank &amp; The Guardian, 9 May 2016</w:t>
      </w:r>
    </w:p>
    <w:p w14:paraId="19D472F1" w14:textId="77777777" w:rsidR="00236A14" w:rsidRPr="00857611" w:rsidRDefault="00236A14" w:rsidP="00236A14">
      <w:pPr>
        <w:spacing w:after="0" w:line="240" w:lineRule="auto"/>
        <w:jc w:val="both"/>
        <w:rPr>
          <w:rFonts w:ascii="Arial" w:eastAsia="Times New Roman" w:hAnsi="Arial" w:cs="Arial"/>
          <w:b/>
          <w:sz w:val="24"/>
          <w:szCs w:val="24"/>
          <w:lang w:bidi="ta-IN"/>
        </w:rPr>
      </w:pPr>
      <w:r w:rsidRPr="00857611">
        <w:rPr>
          <w:rFonts w:ascii="Arial" w:eastAsia="Times New Roman" w:hAnsi="Arial" w:cs="Arial"/>
          <w:b/>
          <w:sz w:val="24"/>
          <w:szCs w:val="24"/>
          <w:lang w:bidi="ta-IN"/>
        </w:rPr>
        <w:t xml:space="preserve">Extract 7: Singapore faces external headwinds </w:t>
      </w:r>
    </w:p>
    <w:p w14:paraId="064A3B08" w14:textId="77777777" w:rsidR="00236A14" w:rsidRPr="00857611" w:rsidRDefault="00236A14" w:rsidP="00236A14">
      <w:pPr>
        <w:spacing w:after="0" w:line="240" w:lineRule="auto"/>
        <w:jc w:val="both"/>
        <w:rPr>
          <w:rFonts w:ascii="Arial" w:hAnsi="Arial" w:cs="Arial"/>
          <w:sz w:val="24"/>
          <w:szCs w:val="24"/>
        </w:rPr>
      </w:pPr>
    </w:p>
    <w:p w14:paraId="68C74D36" w14:textId="77777777" w:rsidR="00236A14" w:rsidRPr="00857611" w:rsidRDefault="00236A14" w:rsidP="00236A14">
      <w:pPr>
        <w:pStyle w:val="NormalWeb"/>
        <w:shd w:val="clear" w:color="auto" w:fill="FFFFFF"/>
        <w:spacing w:before="0" w:beforeAutospacing="0" w:after="0" w:afterAutospacing="0"/>
        <w:jc w:val="both"/>
        <w:rPr>
          <w:rFonts w:ascii="Arial" w:hAnsi="Arial" w:cs="Arial"/>
        </w:rPr>
      </w:pPr>
      <w:r w:rsidRPr="00857611">
        <w:rPr>
          <w:rFonts w:ascii="Arial" w:hAnsi="Arial" w:cs="Arial"/>
        </w:rPr>
        <w:t>While manufacturing remained in the doldrums, Singapore’s economic growth in the fourth quarter of 2015 was supported by public-sector construction activities, and the finance and insurance sectors. With no signs of external demand picking up yet, economists, however, were cautious about the outlook for the coming year despite the better-than-expected fourth quarter performance. Barclays’ economist Leong said: “The US economy is strong but it is offset by China’s growing weakness, precipitated by a weaker ability to import due to the weaker Chinese yuan.” </w:t>
      </w:r>
    </w:p>
    <w:p w14:paraId="40EA105F" w14:textId="77777777" w:rsidR="00236A14" w:rsidRPr="00857611" w:rsidRDefault="00236A14" w:rsidP="00236A14">
      <w:pPr>
        <w:pStyle w:val="NormalWeb"/>
        <w:shd w:val="clear" w:color="auto" w:fill="FFFFFF"/>
        <w:spacing w:before="0" w:beforeAutospacing="0" w:after="0" w:afterAutospacing="0"/>
        <w:jc w:val="both"/>
        <w:rPr>
          <w:rFonts w:ascii="Arial" w:hAnsi="Arial" w:cs="Arial"/>
        </w:rPr>
      </w:pPr>
    </w:p>
    <w:p w14:paraId="6E82DABC" w14:textId="77777777" w:rsidR="00236A14" w:rsidRPr="00857611" w:rsidRDefault="00236A14" w:rsidP="00236A14">
      <w:pPr>
        <w:pStyle w:val="NormalWeb"/>
        <w:shd w:val="clear" w:color="auto" w:fill="FFFFFF"/>
        <w:spacing w:before="0" w:beforeAutospacing="0" w:after="0" w:afterAutospacing="0"/>
        <w:jc w:val="both"/>
        <w:rPr>
          <w:rFonts w:ascii="Arial" w:hAnsi="Arial" w:cs="Arial"/>
        </w:rPr>
      </w:pPr>
      <w:r w:rsidRPr="00857611">
        <w:rPr>
          <w:rFonts w:ascii="Arial" w:hAnsi="Arial" w:cs="Arial"/>
        </w:rPr>
        <w:t>DBS economist, Irvin pointed out the risks of potential capital flight that could result from further US rate hikes and fears of further economic slowdown in China. “Growth outlook in the next six to nine months will remain modest before an improvement in the later part of 2016,” he added.</w:t>
      </w:r>
    </w:p>
    <w:p w14:paraId="2D0E506A" w14:textId="77777777" w:rsidR="00236A14" w:rsidRPr="00857611" w:rsidRDefault="00236A14" w:rsidP="00236A14">
      <w:pPr>
        <w:spacing w:after="0"/>
        <w:jc w:val="right"/>
        <w:rPr>
          <w:rFonts w:ascii="Arial" w:hAnsi="Arial" w:cs="Arial"/>
          <w:i/>
          <w:sz w:val="24"/>
          <w:szCs w:val="24"/>
        </w:rPr>
      </w:pPr>
      <w:r w:rsidRPr="00B80892">
        <w:rPr>
          <w:rFonts w:ascii="Arial" w:hAnsi="Arial" w:cs="Arial"/>
          <w:iCs/>
        </w:rPr>
        <w:t>Adapted from</w:t>
      </w:r>
      <w:r w:rsidRPr="00857611">
        <w:rPr>
          <w:rFonts w:ascii="Arial" w:hAnsi="Arial" w:cs="Arial"/>
          <w:i/>
        </w:rPr>
        <w:t xml:space="preserve"> </w:t>
      </w:r>
      <w:r w:rsidRPr="00857611">
        <w:rPr>
          <w:rFonts w:ascii="Arial" w:hAnsi="Arial" w:cs="Arial"/>
          <w:i/>
          <w:iCs/>
        </w:rPr>
        <w:t>Today, 4 January 2016</w:t>
      </w:r>
    </w:p>
    <w:p w14:paraId="192FBE90" w14:textId="77777777" w:rsidR="00236A14" w:rsidRPr="00857611" w:rsidRDefault="00236A14" w:rsidP="00236A14">
      <w:pPr>
        <w:spacing w:after="0" w:line="240" w:lineRule="auto"/>
        <w:jc w:val="both"/>
        <w:rPr>
          <w:rFonts w:ascii="Arial" w:hAnsi="Arial" w:cs="Arial"/>
          <w:sz w:val="24"/>
          <w:szCs w:val="24"/>
          <w:shd w:val="clear" w:color="auto" w:fill="FFFFFF"/>
        </w:rPr>
      </w:pPr>
    </w:p>
    <w:p w14:paraId="57AE5BCC" w14:textId="77777777" w:rsidR="00236A14" w:rsidRPr="00857611" w:rsidRDefault="00236A14" w:rsidP="00236A14">
      <w:pPr>
        <w:spacing w:after="0" w:line="240" w:lineRule="auto"/>
        <w:jc w:val="both"/>
        <w:rPr>
          <w:rFonts w:ascii="Arial" w:hAnsi="Arial" w:cs="Arial"/>
          <w:b/>
          <w:bCs/>
          <w:sz w:val="24"/>
          <w:szCs w:val="24"/>
          <w:shd w:val="clear" w:color="auto" w:fill="FFFFFF"/>
        </w:rPr>
      </w:pPr>
      <w:r w:rsidRPr="00857611">
        <w:rPr>
          <w:rFonts w:ascii="Arial" w:hAnsi="Arial" w:cs="Arial"/>
          <w:b/>
          <w:bCs/>
          <w:sz w:val="24"/>
          <w:szCs w:val="24"/>
          <w:shd w:val="clear" w:color="auto" w:fill="FFFFFF"/>
        </w:rPr>
        <w:t>Extract 8: Singapore’s top export partners</w:t>
      </w:r>
    </w:p>
    <w:p w14:paraId="570497DF" w14:textId="77777777" w:rsidR="00236A14" w:rsidRPr="00857611" w:rsidRDefault="00236A14" w:rsidP="00236A14">
      <w:pPr>
        <w:spacing w:after="0" w:line="240" w:lineRule="auto"/>
        <w:jc w:val="both"/>
        <w:rPr>
          <w:rFonts w:ascii="Arial" w:hAnsi="Arial" w:cs="Arial"/>
          <w:sz w:val="24"/>
          <w:szCs w:val="24"/>
          <w:shd w:val="clear" w:color="auto" w:fill="FFFFFF"/>
        </w:rPr>
      </w:pPr>
    </w:p>
    <w:p w14:paraId="66431C07" w14:textId="77777777" w:rsidR="00236A14" w:rsidRPr="00857611" w:rsidRDefault="00236A14" w:rsidP="00236A14">
      <w:pPr>
        <w:spacing w:line="240" w:lineRule="auto"/>
        <w:jc w:val="both"/>
        <w:rPr>
          <w:rFonts w:ascii="Arial" w:hAnsi="Arial" w:cs="Arial"/>
          <w:sz w:val="24"/>
          <w:szCs w:val="24"/>
          <w:shd w:val="clear" w:color="auto" w:fill="FFFFFF"/>
        </w:rPr>
      </w:pPr>
      <w:r w:rsidRPr="00857611">
        <w:rPr>
          <w:rFonts w:ascii="Arial" w:hAnsi="Arial" w:cs="Arial"/>
          <w:sz w:val="24"/>
          <w:szCs w:val="24"/>
          <w:shd w:val="clear" w:color="auto" w:fill="FFFFFF"/>
        </w:rPr>
        <w:t xml:space="preserve">Singapore shipped US$346.8 billion worth of products around the globe in 2015. </w:t>
      </w:r>
    </w:p>
    <w:p w14:paraId="37972677" w14:textId="77777777" w:rsidR="00236A14" w:rsidRPr="00857611" w:rsidRDefault="00236A14" w:rsidP="00236A14">
      <w:pPr>
        <w:spacing w:after="0" w:line="240" w:lineRule="auto"/>
        <w:jc w:val="both"/>
        <w:rPr>
          <w:rFonts w:ascii="Arial" w:hAnsi="Arial" w:cs="Arial"/>
          <w:sz w:val="24"/>
          <w:szCs w:val="24"/>
          <w:shd w:val="clear" w:color="auto" w:fill="FFFFFF"/>
        </w:rPr>
      </w:pPr>
      <w:r w:rsidRPr="00857611">
        <w:rPr>
          <w:rFonts w:ascii="Arial" w:hAnsi="Arial" w:cs="Arial"/>
          <w:sz w:val="24"/>
          <w:szCs w:val="24"/>
          <w:shd w:val="clear" w:color="auto" w:fill="FFFFFF"/>
        </w:rPr>
        <w:t>The top 5 export markets are:</w:t>
      </w:r>
    </w:p>
    <w:p w14:paraId="3CAB689D" w14:textId="77777777" w:rsidR="00236A14" w:rsidRPr="00857611" w:rsidRDefault="00236A14" w:rsidP="00236A14">
      <w:pPr>
        <w:numPr>
          <w:ilvl w:val="0"/>
          <w:numId w:val="1"/>
        </w:numPr>
        <w:tabs>
          <w:tab w:val="clear" w:pos="720"/>
        </w:tabs>
        <w:spacing w:after="0" w:line="270" w:lineRule="atLeast"/>
        <w:ind w:left="284" w:hanging="284"/>
        <w:rPr>
          <w:rFonts w:ascii="Arial" w:eastAsia="Times New Roman" w:hAnsi="Arial" w:cs="Arial"/>
          <w:sz w:val="24"/>
          <w:szCs w:val="24"/>
          <w:lang w:bidi="ta-IN"/>
        </w:rPr>
      </w:pPr>
      <w:r w:rsidRPr="00857611">
        <w:rPr>
          <w:rFonts w:ascii="Arial" w:eastAsia="Times New Roman" w:hAnsi="Arial" w:cs="Arial"/>
          <w:sz w:val="24"/>
          <w:szCs w:val="24"/>
          <w:lang w:bidi="ta-IN"/>
        </w:rPr>
        <w:t>China: US$47.7 billion (13.8% of total Singapore exports)</w:t>
      </w:r>
    </w:p>
    <w:p w14:paraId="16D93085" w14:textId="77777777" w:rsidR="00236A14" w:rsidRPr="00857611" w:rsidRDefault="00236A14" w:rsidP="00236A14">
      <w:pPr>
        <w:numPr>
          <w:ilvl w:val="0"/>
          <w:numId w:val="1"/>
        </w:numPr>
        <w:tabs>
          <w:tab w:val="clear" w:pos="720"/>
        </w:tabs>
        <w:spacing w:after="0" w:line="270" w:lineRule="atLeast"/>
        <w:ind w:left="284" w:hanging="284"/>
        <w:rPr>
          <w:rFonts w:ascii="Arial" w:eastAsia="Times New Roman" w:hAnsi="Arial" w:cs="Arial"/>
          <w:sz w:val="24"/>
          <w:szCs w:val="24"/>
          <w:lang w:bidi="ta-IN"/>
        </w:rPr>
      </w:pPr>
      <w:r w:rsidRPr="00857611">
        <w:rPr>
          <w:rFonts w:ascii="Arial" w:eastAsia="Times New Roman" w:hAnsi="Arial" w:cs="Arial"/>
          <w:sz w:val="24"/>
          <w:szCs w:val="24"/>
          <w:lang w:bidi="ta-IN"/>
        </w:rPr>
        <w:t>Hong Kong: US$39.7 billion (11.4%)</w:t>
      </w:r>
    </w:p>
    <w:p w14:paraId="25271DDC" w14:textId="77777777" w:rsidR="00236A14" w:rsidRPr="00857611" w:rsidRDefault="00236A14" w:rsidP="00236A14">
      <w:pPr>
        <w:numPr>
          <w:ilvl w:val="0"/>
          <w:numId w:val="1"/>
        </w:numPr>
        <w:tabs>
          <w:tab w:val="clear" w:pos="720"/>
        </w:tabs>
        <w:spacing w:after="0" w:line="270" w:lineRule="atLeast"/>
        <w:ind w:left="284" w:hanging="284"/>
        <w:rPr>
          <w:rFonts w:ascii="Arial" w:eastAsia="Times New Roman" w:hAnsi="Arial" w:cs="Arial"/>
          <w:sz w:val="24"/>
          <w:szCs w:val="24"/>
          <w:lang w:bidi="ta-IN"/>
        </w:rPr>
      </w:pPr>
      <w:r w:rsidRPr="00857611">
        <w:rPr>
          <w:rFonts w:ascii="Arial" w:eastAsia="Times New Roman" w:hAnsi="Arial" w:cs="Arial"/>
          <w:sz w:val="24"/>
          <w:szCs w:val="24"/>
          <w:lang w:bidi="ta-IN"/>
        </w:rPr>
        <w:t>Malaysia: US$37.8 billion (10.9%)</w:t>
      </w:r>
    </w:p>
    <w:p w14:paraId="68B13598" w14:textId="77777777" w:rsidR="00236A14" w:rsidRPr="00857611" w:rsidRDefault="00236A14" w:rsidP="00236A14">
      <w:pPr>
        <w:numPr>
          <w:ilvl w:val="0"/>
          <w:numId w:val="1"/>
        </w:numPr>
        <w:tabs>
          <w:tab w:val="clear" w:pos="720"/>
        </w:tabs>
        <w:spacing w:after="0" w:line="270" w:lineRule="atLeast"/>
        <w:ind w:left="284" w:hanging="284"/>
        <w:rPr>
          <w:rFonts w:ascii="Arial" w:eastAsia="Times New Roman" w:hAnsi="Arial" w:cs="Arial"/>
          <w:sz w:val="24"/>
          <w:szCs w:val="24"/>
          <w:lang w:bidi="ta-IN"/>
        </w:rPr>
      </w:pPr>
      <w:r w:rsidRPr="00857611">
        <w:rPr>
          <w:rFonts w:ascii="Arial" w:eastAsia="Times New Roman" w:hAnsi="Arial" w:cs="Arial"/>
          <w:sz w:val="24"/>
          <w:szCs w:val="24"/>
          <w:lang w:bidi="ta-IN"/>
        </w:rPr>
        <w:t>Indonesia: US$28.4 billion (8.2%)</w:t>
      </w:r>
    </w:p>
    <w:p w14:paraId="7161FCA8" w14:textId="77777777" w:rsidR="00236A14" w:rsidRPr="00857611" w:rsidRDefault="00236A14" w:rsidP="00236A14">
      <w:pPr>
        <w:numPr>
          <w:ilvl w:val="0"/>
          <w:numId w:val="1"/>
        </w:numPr>
        <w:tabs>
          <w:tab w:val="clear" w:pos="720"/>
        </w:tabs>
        <w:spacing w:after="0" w:line="270" w:lineRule="atLeast"/>
        <w:ind w:left="284" w:hanging="284"/>
        <w:rPr>
          <w:rFonts w:ascii="Arial" w:eastAsia="Times New Roman" w:hAnsi="Arial" w:cs="Arial"/>
          <w:sz w:val="24"/>
          <w:szCs w:val="24"/>
          <w:lang w:bidi="ta-IN"/>
        </w:rPr>
      </w:pPr>
      <w:r w:rsidRPr="00857611">
        <w:rPr>
          <w:rFonts w:ascii="Arial" w:eastAsia="Times New Roman" w:hAnsi="Arial" w:cs="Arial"/>
          <w:sz w:val="24"/>
          <w:szCs w:val="24"/>
          <w:lang w:bidi="ta-IN"/>
        </w:rPr>
        <w:t>United States: US$23.2 billion (6.7%)</w:t>
      </w:r>
    </w:p>
    <w:p w14:paraId="57269D36" w14:textId="77777777" w:rsidR="00236A14" w:rsidRPr="00857611" w:rsidRDefault="00236A14" w:rsidP="00236A14">
      <w:pPr>
        <w:spacing w:after="0" w:line="240" w:lineRule="auto"/>
        <w:jc w:val="both"/>
        <w:rPr>
          <w:rFonts w:ascii="Arial" w:hAnsi="Arial" w:cs="Arial"/>
          <w:b/>
          <w:bCs/>
          <w:sz w:val="24"/>
          <w:szCs w:val="24"/>
        </w:rPr>
      </w:pPr>
    </w:p>
    <w:p w14:paraId="7F69F4E8" w14:textId="77777777" w:rsidR="00236A14" w:rsidRPr="00857611" w:rsidRDefault="00236A14" w:rsidP="00236A14">
      <w:pPr>
        <w:spacing w:after="0" w:line="240" w:lineRule="auto"/>
        <w:jc w:val="right"/>
        <w:rPr>
          <w:rFonts w:ascii="Arial" w:hAnsi="Arial" w:cs="Arial"/>
          <w:i/>
        </w:rPr>
      </w:pPr>
      <w:r w:rsidRPr="00857611">
        <w:rPr>
          <w:rFonts w:ascii="Arial" w:hAnsi="Arial" w:cs="Arial"/>
          <w:i/>
        </w:rPr>
        <w:t xml:space="preserve">Source: </w:t>
      </w:r>
      <w:hyperlink r:id="rId7" w:history="1">
        <w:r w:rsidRPr="00857611">
          <w:rPr>
            <w:rStyle w:val="Hyperlink"/>
            <w:rFonts w:ascii="Arial" w:hAnsi="Arial" w:cs="Arial"/>
            <w:i/>
          </w:rPr>
          <w:t>http://www.worldstopexports.com/singapores-top-import-partners/</w:t>
        </w:r>
      </w:hyperlink>
      <w:r w:rsidRPr="00857611">
        <w:rPr>
          <w:rFonts w:ascii="Arial" w:hAnsi="Arial" w:cs="Arial"/>
          <w:i/>
        </w:rPr>
        <w:t>, 17 Apr 2016</w:t>
      </w:r>
    </w:p>
    <w:p w14:paraId="1EE575C0" w14:textId="77777777" w:rsidR="00236A14" w:rsidRPr="00857611" w:rsidRDefault="00236A14" w:rsidP="00236A14">
      <w:pPr>
        <w:spacing w:after="0"/>
        <w:rPr>
          <w:rFonts w:ascii="Arial" w:hAnsi="Arial" w:cs="Arial"/>
          <w:b/>
          <w:bCs/>
          <w:sz w:val="24"/>
          <w:szCs w:val="24"/>
        </w:rPr>
      </w:pPr>
    </w:p>
    <w:p w14:paraId="63E2F7D3" w14:textId="77777777" w:rsidR="00236A14" w:rsidRPr="00F41BE6" w:rsidRDefault="00236A14" w:rsidP="00236A14">
      <w:pPr>
        <w:spacing w:after="0"/>
        <w:jc w:val="center"/>
        <w:rPr>
          <w:rFonts w:ascii="Arial" w:hAnsi="Arial" w:cs="Arial"/>
          <w:b/>
          <w:bCs/>
          <w:sz w:val="24"/>
          <w:szCs w:val="24"/>
        </w:rPr>
      </w:pPr>
      <w:r>
        <w:rPr>
          <w:rFonts w:ascii="Arial" w:hAnsi="Arial" w:cs="Arial"/>
          <w:b/>
          <w:bCs/>
          <w:sz w:val="24"/>
          <w:szCs w:val="24"/>
        </w:rPr>
        <w:t>Table 1</w:t>
      </w:r>
      <w:r w:rsidRPr="00F41BE6">
        <w:rPr>
          <w:rFonts w:ascii="Arial" w:hAnsi="Arial" w:cs="Arial"/>
          <w:b/>
          <w:bCs/>
          <w:sz w:val="24"/>
          <w:szCs w:val="24"/>
        </w:rPr>
        <w:t>: Macroeconomic Indicators (China)</w:t>
      </w:r>
    </w:p>
    <w:p w14:paraId="154A58E2" w14:textId="77777777" w:rsidR="00236A14" w:rsidRPr="001C35A1" w:rsidRDefault="00236A14" w:rsidP="00236A14">
      <w:pPr>
        <w:spacing w:after="0"/>
        <w:jc w:val="center"/>
        <w:rPr>
          <w:rFonts w:ascii="Arial" w:hAnsi="Arial" w:cs="Arial"/>
          <w:sz w:val="16"/>
          <w:szCs w:val="16"/>
        </w:rPr>
      </w:pPr>
    </w:p>
    <w:tbl>
      <w:tblPr>
        <w:tblStyle w:val="TableGrid"/>
        <w:tblW w:w="9351" w:type="dxa"/>
        <w:jc w:val="center"/>
        <w:tblLayout w:type="fixed"/>
        <w:tblLook w:val="04A0" w:firstRow="1" w:lastRow="0" w:firstColumn="1" w:lastColumn="0" w:noHBand="0" w:noVBand="1"/>
      </w:tblPr>
      <w:tblGrid>
        <w:gridCol w:w="4673"/>
        <w:gridCol w:w="935"/>
        <w:gridCol w:w="936"/>
        <w:gridCol w:w="935"/>
        <w:gridCol w:w="936"/>
        <w:gridCol w:w="936"/>
      </w:tblGrid>
      <w:tr w:rsidR="00236A14" w:rsidRPr="00F41BE6" w14:paraId="18052D28" w14:textId="77777777" w:rsidTr="00CD433E">
        <w:trPr>
          <w:jc w:val="center"/>
        </w:trPr>
        <w:tc>
          <w:tcPr>
            <w:tcW w:w="4673" w:type="dxa"/>
          </w:tcPr>
          <w:p w14:paraId="604099E9" w14:textId="77777777" w:rsidR="00236A14" w:rsidRPr="00F41BE6" w:rsidRDefault="00236A14" w:rsidP="00CD433E">
            <w:pPr>
              <w:rPr>
                <w:rFonts w:ascii="Arial" w:hAnsi="Arial" w:cs="Arial"/>
                <w:sz w:val="24"/>
                <w:szCs w:val="24"/>
              </w:rPr>
            </w:pPr>
          </w:p>
        </w:tc>
        <w:tc>
          <w:tcPr>
            <w:tcW w:w="935" w:type="dxa"/>
          </w:tcPr>
          <w:p w14:paraId="295D683F"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2011</w:t>
            </w:r>
          </w:p>
        </w:tc>
        <w:tc>
          <w:tcPr>
            <w:tcW w:w="936" w:type="dxa"/>
          </w:tcPr>
          <w:p w14:paraId="7F75023D"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2012</w:t>
            </w:r>
          </w:p>
        </w:tc>
        <w:tc>
          <w:tcPr>
            <w:tcW w:w="935" w:type="dxa"/>
          </w:tcPr>
          <w:p w14:paraId="46E3D7B2"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2013</w:t>
            </w:r>
          </w:p>
        </w:tc>
        <w:tc>
          <w:tcPr>
            <w:tcW w:w="936" w:type="dxa"/>
          </w:tcPr>
          <w:p w14:paraId="2DD6931E"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2014</w:t>
            </w:r>
          </w:p>
        </w:tc>
        <w:tc>
          <w:tcPr>
            <w:tcW w:w="936" w:type="dxa"/>
          </w:tcPr>
          <w:p w14:paraId="1BD6BC5E"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2015</w:t>
            </w:r>
          </w:p>
        </w:tc>
      </w:tr>
      <w:tr w:rsidR="00236A14" w:rsidRPr="00F41BE6" w14:paraId="6BDFCD9B" w14:textId="77777777" w:rsidTr="00CD433E">
        <w:trPr>
          <w:trHeight w:val="358"/>
          <w:jc w:val="center"/>
        </w:trPr>
        <w:tc>
          <w:tcPr>
            <w:tcW w:w="4673" w:type="dxa"/>
          </w:tcPr>
          <w:p w14:paraId="19A20431" w14:textId="77777777" w:rsidR="00236A14" w:rsidRPr="00F41BE6" w:rsidRDefault="00236A14" w:rsidP="00CD433E">
            <w:pPr>
              <w:rPr>
                <w:rFonts w:ascii="Arial" w:hAnsi="Arial" w:cs="Arial"/>
                <w:sz w:val="24"/>
                <w:szCs w:val="24"/>
              </w:rPr>
            </w:pPr>
            <w:r w:rsidRPr="00F41BE6">
              <w:rPr>
                <w:rFonts w:ascii="Arial" w:hAnsi="Arial" w:cs="Arial"/>
                <w:sz w:val="24"/>
                <w:szCs w:val="24"/>
              </w:rPr>
              <w:t>Real</w:t>
            </w:r>
            <w:r>
              <w:rPr>
                <w:rFonts w:ascii="Arial" w:hAnsi="Arial" w:cs="Arial"/>
                <w:sz w:val="24"/>
                <w:szCs w:val="24"/>
              </w:rPr>
              <w:t xml:space="preserve"> GDP g</w:t>
            </w:r>
            <w:r w:rsidRPr="00F41BE6">
              <w:rPr>
                <w:rFonts w:ascii="Arial" w:hAnsi="Arial" w:cs="Arial"/>
                <w:sz w:val="24"/>
                <w:szCs w:val="24"/>
              </w:rPr>
              <w:t>rowth</w:t>
            </w:r>
            <w:r>
              <w:rPr>
                <w:rFonts w:ascii="Arial" w:hAnsi="Arial" w:cs="Arial"/>
                <w:sz w:val="24"/>
                <w:szCs w:val="24"/>
              </w:rPr>
              <w:t xml:space="preserve"> </w:t>
            </w:r>
            <w:r w:rsidRPr="00F41BE6">
              <w:rPr>
                <w:rFonts w:ascii="Arial" w:hAnsi="Arial" w:cs="Arial"/>
                <w:sz w:val="24"/>
                <w:szCs w:val="24"/>
              </w:rPr>
              <w:t>(% per year)</w:t>
            </w:r>
          </w:p>
        </w:tc>
        <w:tc>
          <w:tcPr>
            <w:tcW w:w="935" w:type="dxa"/>
          </w:tcPr>
          <w:p w14:paraId="7787892A"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9.5</w:t>
            </w:r>
          </w:p>
        </w:tc>
        <w:tc>
          <w:tcPr>
            <w:tcW w:w="936" w:type="dxa"/>
          </w:tcPr>
          <w:p w14:paraId="25A60765"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7.8</w:t>
            </w:r>
          </w:p>
        </w:tc>
        <w:tc>
          <w:tcPr>
            <w:tcW w:w="935" w:type="dxa"/>
          </w:tcPr>
          <w:p w14:paraId="6D768056"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7.7</w:t>
            </w:r>
          </w:p>
        </w:tc>
        <w:tc>
          <w:tcPr>
            <w:tcW w:w="936" w:type="dxa"/>
          </w:tcPr>
          <w:p w14:paraId="76264A7E"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7.3</w:t>
            </w:r>
          </w:p>
        </w:tc>
        <w:tc>
          <w:tcPr>
            <w:tcW w:w="936" w:type="dxa"/>
          </w:tcPr>
          <w:p w14:paraId="3604A94D"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6.9</w:t>
            </w:r>
          </w:p>
        </w:tc>
      </w:tr>
      <w:tr w:rsidR="00236A14" w:rsidRPr="00F41BE6" w14:paraId="4EFB975C" w14:textId="77777777" w:rsidTr="00CD433E">
        <w:trPr>
          <w:trHeight w:val="358"/>
          <w:jc w:val="center"/>
        </w:trPr>
        <w:tc>
          <w:tcPr>
            <w:tcW w:w="4673" w:type="dxa"/>
          </w:tcPr>
          <w:p w14:paraId="03DF9CF6" w14:textId="77777777" w:rsidR="00236A14" w:rsidRPr="00F41BE6" w:rsidRDefault="00236A14" w:rsidP="00CD433E">
            <w:pPr>
              <w:rPr>
                <w:rFonts w:ascii="Arial" w:hAnsi="Arial" w:cs="Arial"/>
                <w:sz w:val="24"/>
                <w:szCs w:val="24"/>
              </w:rPr>
            </w:pPr>
            <w:r w:rsidRPr="00F41BE6">
              <w:rPr>
                <w:rFonts w:ascii="Arial" w:hAnsi="Arial" w:cs="Arial"/>
                <w:sz w:val="24"/>
                <w:szCs w:val="24"/>
              </w:rPr>
              <w:t>Rate of inflation (%)</w:t>
            </w:r>
          </w:p>
        </w:tc>
        <w:tc>
          <w:tcPr>
            <w:tcW w:w="935" w:type="dxa"/>
          </w:tcPr>
          <w:p w14:paraId="34954157"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5.4</w:t>
            </w:r>
          </w:p>
        </w:tc>
        <w:tc>
          <w:tcPr>
            <w:tcW w:w="936" w:type="dxa"/>
          </w:tcPr>
          <w:p w14:paraId="5CF87461"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2.6</w:t>
            </w:r>
          </w:p>
        </w:tc>
        <w:tc>
          <w:tcPr>
            <w:tcW w:w="935" w:type="dxa"/>
          </w:tcPr>
          <w:p w14:paraId="42959BE8"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2.6</w:t>
            </w:r>
          </w:p>
        </w:tc>
        <w:tc>
          <w:tcPr>
            <w:tcW w:w="936" w:type="dxa"/>
          </w:tcPr>
          <w:p w14:paraId="008AF7FD"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w:t>
            </w:r>
          </w:p>
        </w:tc>
        <w:tc>
          <w:tcPr>
            <w:tcW w:w="936" w:type="dxa"/>
          </w:tcPr>
          <w:p w14:paraId="6E585D2E"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1.4</w:t>
            </w:r>
          </w:p>
        </w:tc>
      </w:tr>
      <w:tr w:rsidR="00236A14" w:rsidRPr="00F41BE6" w14:paraId="374DED89" w14:textId="77777777" w:rsidTr="00CD433E">
        <w:trPr>
          <w:trHeight w:val="358"/>
          <w:jc w:val="center"/>
        </w:trPr>
        <w:tc>
          <w:tcPr>
            <w:tcW w:w="4673" w:type="dxa"/>
          </w:tcPr>
          <w:p w14:paraId="24EA8E26" w14:textId="77777777" w:rsidR="00236A14" w:rsidRPr="00F41BE6" w:rsidRDefault="00236A14" w:rsidP="00CD433E">
            <w:pPr>
              <w:rPr>
                <w:rFonts w:ascii="Arial" w:hAnsi="Arial" w:cs="Arial"/>
                <w:sz w:val="24"/>
                <w:szCs w:val="24"/>
              </w:rPr>
            </w:pPr>
            <w:r w:rsidRPr="00F41BE6">
              <w:rPr>
                <w:rFonts w:ascii="Arial" w:hAnsi="Arial" w:cs="Arial"/>
                <w:sz w:val="24"/>
                <w:szCs w:val="24"/>
              </w:rPr>
              <w:t>Unemployment</w:t>
            </w:r>
            <w:r>
              <w:rPr>
                <w:rFonts w:ascii="Arial" w:hAnsi="Arial" w:cs="Arial"/>
                <w:sz w:val="24"/>
                <w:szCs w:val="24"/>
              </w:rPr>
              <w:t xml:space="preserve"> </w:t>
            </w:r>
            <w:r w:rsidRPr="00F41BE6">
              <w:rPr>
                <w:rFonts w:ascii="Arial" w:hAnsi="Arial" w:cs="Arial"/>
                <w:sz w:val="24"/>
                <w:szCs w:val="24"/>
              </w:rPr>
              <w:t>(% of labour force)</w:t>
            </w:r>
          </w:p>
        </w:tc>
        <w:tc>
          <w:tcPr>
            <w:tcW w:w="935" w:type="dxa"/>
          </w:tcPr>
          <w:p w14:paraId="555C0698"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4.3</w:t>
            </w:r>
          </w:p>
        </w:tc>
        <w:tc>
          <w:tcPr>
            <w:tcW w:w="936" w:type="dxa"/>
          </w:tcPr>
          <w:p w14:paraId="4675D74D"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4.5</w:t>
            </w:r>
          </w:p>
        </w:tc>
        <w:tc>
          <w:tcPr>
            <w:tcW w:w="935" w:type="dxa"/>
          </w:tcPr>
          <w:p w14:paraId="31D175E5"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4.6</w:t>
            </w:r>
          </w:p>
        </w:tc>
        <w:tc>
          <w:tcPr>
            <w:tcW w:w="936" w:type="dxa"/>
          </w:tcPr>
          <w:p w14:paraId="4BA4B2A0"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4.7</w:t>
            </w:r>
          </w:p>
        </w:tc>
        <w:tc>
          <w:tcPr>
            <w:tcW w:w="936" w:type="dxa"/>
          </w:tcPr>
          <w:p w14:paraId="08657533"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4.8</w:t>
            </w:r>
          </w:p>
        </w:tc>
      </w:tr>
      <w:tr w:rsidR="00236A14" w:rsidRPr="00F41BE6" w14:paraId="69915E7E" w14:textId="77777777" w:rsidTr="00CD433E">
        <w:trPr>
          <w:trHeight w:val="358"/>
          <w:jc w:val="center"/>
        </w:trPr>
        <w:tc>
          <w:tcPr>
            <w:tcW w:w="4673" w:type="dxa"/>
          </w:tcPr>
          <w:p w14:paraId="439E699A" w14:textId="77777777" w:rsidR="00236A14" w:rsidRPr="00F41BE6" w:rsidRDefault="00236A14" w:rsidP="00CD433E">
            <w:pPr>
              <w:rPr>
                <w:rFonts w:ascii="Arial" w:hAnsi="Arial" w:cs="Arial"/>
                <w:sz w:val="24"/>
                <w:szCs w:val="24"/>
              </w:rPr>
            </w:pPr>
            <w:r w:rsidRPr="00F41BE6">
              <w:rPr>
                <w:rFonts w:ascii="Arial" w:hAnsi="Arial" w:cs="Arial"/>
                <w:sz w:val="24"/>
                <w:szCs w:val="24"/>
              </w:rPr>
              <w:t xml:space="preserve">Government budget balance (% of </w:t>
            </w:r>
            <w:r>
              <w:rPr>
                <w:rFonts w:ascii="Arial" w:hAnsi="Arial" w:cs="Arial"/>
                <w:sz w:val="24"/>
                <w:szCs w:val="24"/>
              </w:rPr>
              <w:t>G</w:t>
            </w:r>
            <w:r w:rsidRPr="00F41BE6">
              <w:rPr>
                <w:rFonts w:ascii="Arial" w:hAnsi="Arial" w:cs="Arial"/>
                <w:sz w:val="24"/>
                <w:szCs w:val="24"/>
              </w:rPr>
              <w:t xml:space="preserve">DP) </w:t>
            </w:r>
          </w:p>
        </w:tc>
        <w:tc>
          <w:tcPr>
            <w:tcW w:w="935" w:type="dxa"/>
          </w:tcPr>
          <w:p w14:paraId="2F4601B4"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0.1</w:t>
            </w:r>
          </w:p>
        </w:tc>
        <w:tc>
          <w:tcPr>
            <w:tcW w:w="936" w:type="dxa"/>
          </w:tcPr>
          <w:p w14:paraId="2BBC182E"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-0.3</w:t>
            </w:r>
          </w:p>
        </w:tc>
        <w:tc>
          <w:tcPr>
            <w:tcW w:w="935" w:type="dxa"/>
          </w:tcPr>
          <w:p w14:paraId="69F8629E"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-0.7</w:t>
            </w:r>
          </w:p>
        </w:tc>
        <w:tc>
          <w:tcPr>
            <w:tcW w:w="936" w:type="dxa"/>
          </w:tcPr>
          <w:p w14:paraId="78EC334B"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-1.2</w:t>
            </w:r>
          </w:p>
        </w:tc>
        <w:tc>
          <w:tcPr>
            <w:tcW w:w="936" w:type="dxa"/>
          </w:tcPr>
          <w:p w14:paraId="1878B3AB"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-2.6</w:t>
            </w:r>
          </w:p>
        </w:tc>
      </w:tr>
      <w:tr w:rsidR="00236A14" w:rsidRPr="00F41BE6" w14:paraId="58C75CFF" w14:textId="77777777" w:rsidTr="00CD433E">
        <w:trPr>
          <w:trHeight w:val="358"/>
          <w:jc w:val="center"/>
        </w:trPr>
        <w:tc>
          <w:tcPr>
            <w:tcW w:w="4673" w:type="dxa"/>
          </w:tcPr>
          <w:p w14:paraId="08E2EA88" w14:textId="77777777" w:rsidR="00236A14" w:rsidRPr="00F41BE6" w:rsidRDefault="00236A14" w:rsidP="00CD433E">
            <w:pPr>
              <w:rPr>
                <w:rFonts w:ascii="Arial" w:hAnsi="Arial" w:cs="Arial"/>
                <w:sz w:val="24"/>
                <w:szCs w:val="24"/>
              </w:rPr>
            </w:pPr>
            <w:r w:rsidRPr="00F41BE6">
              <w:rPr>
                <w:rFonts w:ascii="Arial" w:hAnsi="Arial" w:cs="Arial"/>
                <w:sz w:val="24"/>
                <w:szCs w:val="24"/>
              </w:rPr>
              <w:t xml:space="preserve">Current account </w:t>
            </w:r>
            <w:proofErr w:type="gramStart"/>
            <w:r w:rsidRPr="00F41BE6">
              <w:rPr>
                <w:rFonts w:ascii="Arial" w:hAnsi="Arial" w:cs="Arial"/>
                <w:sz w:val="24"/>
                <w:szCs w:val="24"/>
              </w:rPr>
              <w:t>balance</w:t>
            </w:r>
            <w:r>
              <w:rPr>
                <w:rFonts w:ascii="Arial" w:hAnsi="Arial" w:cs="Arial"/>
                <w:sz w:val="24"/>
                <w:szCs w:val="24"/>
              </w:rPr>
              <w:t xml:space="preserve"> </w:t>
            </w:r>
            <w:r w:rsidRPr="00F41BE6">
              <w:rPr>
                <w:rFonts w:ascii="Arial" w:hAnsi="Arial" w:cs="Arial"/>
                <w:sz w:val="24"/>
                <w:szCs w:val="24"/>
              </w:rPr>
              <w:t xml:space="preserve"> (</w:t>
            </w:r>
            <w:proofErr w:type="gramEnd"/>
            <w:r w:rsidRPr="00F41BE6">
              <w:rPr>
                <w:rFonts w:ascii="Arial" w:hAnsi="Arial" w:cs="Arial"/>
                <w:sz w:val="24"/>
                <w:szCs w:val="24"/>
              </w:rPr>
              <w:t>US$ billion)</w:t>
            </w:r>
          </w:p>
        </w:tc>
        <w:tc>
          <w:tcPr>
            <w:tcW w:w="935" w:type="dxa"/>
          </w:tcPr>
          <w:p w14:paraId="044C2652"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136.1</w:t>
            </w:r>
          </w:p>
        </w:tc>
        <w:tc>
          <w:tcPr>
            <w:tcW w:w="936" w:type="dxa"/>
          </w:tcPr>
          <w:p w14:paraId="7866D321"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215.4</w:t>
            </w:r>
          </w:p>
        </w:tc>
        <w:tc>
          <w:tcPr>
            <w:tcW w:w="935" w:type="dxa"/>
          </w:tcPr>
          <w:p w14:paraId="1BBE93CC"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148.2</w:t>
            </w:r>
          </w:p>
        </w:tc>
        <w:tc>
          <w:tcPr>
            <w:tcW w:w="936" w:type="dxa"/>
          </w:tcPr>
          <w:p w14:paraId="7938C7DB"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219.7</w:t>
            </w:r>
          </w:p>
        </w:tc>
        <w:tc>
          <w:tcPr>
            <w:tcW w:w="936" w:type="dxa"/>
          </w:tcPr>
          <w:p w14:paraId="12581918"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330.6</w:t>
            </w:r>
          </w:p>
        </w:tc>
      </w:tr>
    </w:tbl>
    <w:p w14:paraId="73479413" w14:textId="77777777" w:rsidR="00236A14" w:rsidRDefault="00236A14" w:rsidP="00236A14">
      <w:pPr>
        <w:rPr>
          <w:rFonts w:ascii="Arial" w:hAnsi="Arial" w:cs="Arial"/>
          <w:b/>
          <w:bCs/>
          <w:sz w:val="24"/>
          <w:szCs w:val="24"/>
        </w:rPr>
      </w:pPr>
    </w:p>
    <w:p w14:paraId="1C089D42" w14:textId="77777777" w:rsidR="00236A14" w:rsidRPr="00534001" w:rsidRDefault="00236A14" w:rsidP="00236A14">
      <w:pPr>
        <w:jc w:val="center"/>
        <w:rPr>
          <w:rFonts w:ascii="Arial" w:hAnsi="Arial" w:cs="Arial"/>
          <w:b/>
          <w:bCs/>
          <w:sz w:val="24"/>
          <w:szCs w:val="24"/>
        </w:rPr>
      </w:pPr>
      <w:r w:rsidRPr="00F41BE6">
        <w:rPr>
          <w:rFonts w:ascii="Arial" w:hAnsi="Arial" w:cs="Arial"/>
          <w:b/>
          <w:bCs/>
          <w:sz w:val="24"/>
          <w:szCs w:val="24"/>
        </w:rPr>
        <w:t xml:space="preserve">Table </w:t>
      </w:r>
      <w:r>
        <w:rPr>
          <w:rFonts w:ascii="Arial" w:hAnsi="Arial" w:cs="Arial"/>
          <w:b/>
          <w:bCs/>
          <w:sz w:val="24"/>
          <w:szCs w:val="24"/>
        </w:rPr>
        <w:t>2</w:t>
      </w:r>
      <w:r w:rsidRPr="00F41BE6">
        <w:rPr>
          <w:rFonts w:ascii="Arial" w:hAnsi="Arial" w:cs="Arial"/>
          <w:b/>
          <w:bCs/>
          <w:sz w:val="24"/>
          <w:szCs w:val="24"/>
        </w:rPr>
        <w:t>: Macroeconomic Indicators (United States)</w:t>
      </w:r>
    </w:p>
    <w:tbl>
      <w:tblPr>
        <w:tblStyle w:val="TableGrid"/>
        <w:tblW w:w="9422" w:type="dxa"/>
        <w:jc w:val="center"/>
        <w:tblLook w:val="04A0" w:firstRow="1" w:lastRow="0" w:firstColumn="1" w:lastColumn="0" w:noHBand="0" w:noVBand="1"/>
      </w:tblPr>
      <w:tblGrid>
        <w:gridCol w:w="4649"/>
        <w:gridCol w:w="1030"/>
        <w:gridCol w:w="936"/>
        <w:gridCol w:w="935"/>
        <w:gridCol w:w="936"/>
        <w:gridCol w:w="936"/>
      </w:tblGrid>
      <w:tr w:rsidR="00236A14" w:rsidRPr="00AE1ABB" w14:paraId="40D47F9F" w14:textId="77777777" w:rsidTr="00CD433E">
        <w:trPr>
          <w:jc w:val="center"/>
        </w:trPr>
        <w:tc>
          <w:tcPr>
            <w:tcW w:w="4649" w:type="dxa"/>
          </w:tcPr>
          <w:p w14:paraId="1185A64D" w14:textId="77777777" w:rsidR="00236A14" w:rsidRPr="00F41BE6" w:rsidRDefault="00236A14" w:rsidP="00CD433E">
            <w:pPr>
              <w:rPr>
                <w:rFonts w:ascii="Arial" w:hAnsi="Arial" w:cs="Arial"/>
                <w:sz w:val="24"/>
                <w:szCs w:val="24"/>
              </w:rPr>
            </w:pPr>
          </w:p>
        </w:tc>
        <w:tc>
          <w:tcPr>
            <w:tcW w:w="1030" w:type="dxa"/>
          </w:tcPr>
          <w:p w14:paraId="4F4989B9" w14:textId="77777777" w:rsidR="00236A14" w:rsidRPr="00F41BE6" w:rsidRDefault="00236A14" w:rsidP="00CD433E">
            <w:pPr>
              <w:rPr>
                <w:rFonts w:ascii="Arial" w:hAnsi="Arial" w:cs="Arial"/>
                <w:sz w:val="24"/>
                <w:szCs w:val="24"/>
              </w:rPr>
            </w:pPr>
            <w:r w:rsidRPr="00F41BE6">
              <w:rPr>
                <w:rFonts w:ascii="Arial" w:hAnsi="Arial" w:cs="Arial"/>
                <w:sz w:val="24"/>
                <w:szCs w:val="24"/>
              </w:rPr>
              <w:t>2011</w:t>
            </w:r>
          </w:p>
        </w:tc>
        <w:tc>
          <w:tcPr>
            <w:tcW w:w="936" w:type="dxa"/>
          </w:tcPr>
          <w:p w14:paraId="53356F6C" w14:textId="77777777" w:rsidR="00236A14" w:rsidRPr="00F41BE6" w:rsidRDefault="00236A14" w:rsidP="00CD433E">
            <w:pPr>
              <w:rPr>
                <w:rFonts w:ascii="Arial" w:hAnsi="Arial" w:cs="Arial"/>
                <w:sz w:val="24"/>
                <w:szCs w:val="24"/>
              </w:rPr>
            </w:pPr>
            <w:r w:rsidRPr="00F41BE6">
              <w:rPr>
                <w:rFonts w:ascii="Arial" w:hAnsi="Arial" w:cs="Arial"/>
                <w:sz w:val="24"/>
                <w:szCs w:val="24"/>
              </w:rPr>
              <w:t>2012</w:t>
            </w:r>
          </w:p>
        </w:tc>
        <w:tc>
          <w:tcPr>
            <w:tcW w:w="935" w:type="dxa"/>
          </w:tcPr>
          <w:p w14:paraId="44006DAE" w14:textId="77777777" w:rsidR="00236A14" w:rsidRPr="00F41BE6" w:rsidRDefault="00236A14" w:rsidP="00CD433E">
            <w:pPr>
              <w:rPr>
                <w:rFonts w:ascii="Arial" w:hAnsi="Arial" w:cs="Arial"/>
                <w:sz w:val="24"/>
                <w:szCs w:val="24"/>
              </w:rPr>
            </w:pPr>
            <w:r w:rsidRPr="00F41BE6">
              <w:rPr>
                <w:rFonts w:ascii="Arial" w:hAnsi="Arial" w:cs="Arial"/>
                <w:sz w:val="24"/>
                <w:szCs w:val="24"/>
              </w:rPr>
              <w:t>2013</w:t>
            </w:r>
          </w:p>
        </w:tc>
        <w:tc>
          <w:tcPr>
            <w:tcW w:w="936" w:type="dxa"/>
          </w:tcPr>
          <w:p w14:paraId="5F7C982E" w14:textId="77777777" w:rsidR="00236A14" w:rsidRPr="00F41BE6" w:rsidRDefault="00236A14" w:rsidP="00CD433E">
            <w:pPr>
              <w:rPr>
                <w:rFonts w:ascii="Arial" w:hAnsi="Arial" w:cs="Arial"/>
                <w:sz w:val="24"/>
                <w:szCs w:val="24"/>
              </w:rPr>
            </w:pPr>
            <w:r w:rsidRPr="00F41BE6">
              <w:rPr>
                <w:rFonts w:ascii="Arial" w:hAnsi="Arial" w:cs="Arial"/>
                <w:sz w:val="24"/>
                <w:szCs w:val="24"/>
              </w:rPr>
              <w:t>2014</w:t>
            </w:r>
          </w:p>
        </w:tc>
        <w:tc>
          <w:tcPr>
            <w:tcW w:w="936" w:type="dxa"/>
          </w:tcPr>
          <w:p w14:paraId="49E71319" w14:textId="77777777" w:rsidR="00236A14" w:rsidRPr="00F41BE6" w:rsidRDefault="00236A14" w:rsidP="00CD433E">
            <w:pPr>
              <w:rPr>
                <w:rFonts w:ascii="Arial" w:hAnsi="Arial" w:cs="Arial"/>
                <w:sz w:val="24"/>
                <w:szCs w:val="24"/>
              </w:rPr>
            </w:pPr>
            <w:r w:rsidRPr="00F41BE6">
              <w:rPr>
                <w:rFonts w:ascii="Arial" w:hAnsi="Arial" w:cs="Arial"/>
                <w:sz w:val="24"/>
                <w:szCs w:val="24"/>
              </w:rPr>
              <w:t>2015</w:t>
            </w:r>
          </w:p>
        </w:tc>
      </w:tr>
      <w:tr w:rsidR="00236A14" w:rsidRPr="00AE1ABB" w14:paraId="5499CC12" w14:textId="77777777" w:rsidTr="00CD433E">
        <w:trPr>
          <w:trHeight w:val="346"/>
          <w:jc w:val="center"/>
        </w:trPr>
        <w:tc>
          <w:tcPr>
            <w:tcW w:w="4649" w:type="dxa"/>
          </w:tcPr>
          <w:p w14:paraId="3330D2ED" w14:textId="77777777" w:rsidR="00236A14" w:rsidRPr="00F41BE6" w:rsidRDefault="00236A14" w:rsidP="00CD433E">
            <w:pPr>
              <w:rPr>
                <w:rFonts w:ascii="Arial" w:hAnsi="Arial" w:cs="Arial"/>
                <w:sz w:val="24"/>
                <w:szCs w:val="24"/>
              </w:rPr>
            </w:pPr>
            <w:r>
              <w:rPr>
                <w:rFonts w:ascii="Arial" w:hAnsi="Arial" w:cs="Arial"/>
                <w:sz w:val="24"/>
                <w:szCs w:val="24"/>
              </w:rPr>
              <w:t>Real GDP g</w:t>
            </w:r>
            <w:r w:rsidRPr="00F41BE6">
              <w:rPr>
                <w:rFonts w:ascii="Arial" w:hAnsi="Arial" w:cs="Arial"/>
                <w:sz w:val="24"/>
                <w:szCs w:val="24"/>
              </w:rPr>
              <w:t>rowth</w:t>
            </w:r>
            <w:r>
              <w:rPr>
                <w:rFonts w:ascii="Arial" w:hAnsi="Arial" w:cs="Arial"/>
                <w:sz w:val="24"/>
                <w:szCs w:val="24"/>
              </w:rPr>
              <w:t xml:space="preserve"> </w:t>
            </w:r>
            <w:r w:rsidRPr="00F41BE6">
              <w:rPr>
                <w:rFonts w:ascii="Arial" w:hAnsi="Arial" w:cs="Arial"/>
                <w:sz w:val="24"/>
                <w:szCs w:val="24"/>
              </w:rPr>
              <w:t>(% per year)</w:t>
            </w:r>
          </w:p>
        </w:tc>
        <w:tc>
          <w:tcPr>
            <w:tcW w:w="1030" w:type="dxa"/>
          </w:tcPr>
          <w:p w14:paraId="7318919B" w14:textId="77777777" w:rsidR="00236A14" w:rsidRPr="00F41BE6" w:rsidRDefault="00236A14" w:rsidP="00CD433E">
            <w:pPr>
              <w:rPr>
                <w:rFonts w:ascii="Arial" w:hAnsi="Arial" w:cs="Arial"/>
                <w:sz w:val="24"/>
                <w:szCs w:val="24"/>
              </w:rPr>
            </w:pPr>
            <w:r w:rsidRPr="00F41BE6">
              <w:rPr>
                <w:rFonts w:ascii="Arial" w:hAnsi="Arial" w:cs="Arial"/>
                <w:sz w:val="24"/>
                <w:szCs w:val="24"/>
              </w:rPr>
              <w:t>1.6</w:t>
            </w:r>
          </w:p>
        </w:tc>
        <w:tc>
          <w:tcPr>
            <w:tcW w:w="936" w:type="dxa"/>
          </w:tcPr>
          <w:p w14:paraId="1096DA67" w14:textId="77777777" w:rsidR="00236A14" w:rsidRPr="00F41BE6" w:rsidRDefault="00236A14" w:rsidP="00CD433E">
            <w:pPr>
              <w:rPr>
                <w:rFonts w:ascii="Arial" w:hAnsi="Arial" w:cs="Arial"/>
                <w:sz w:val="24"/>
                <w:szCs w:val="24"/>
              </w:rPr>
            </w:pPr>
            <w:r w:rsidRPr="00F41BE6">
              <w:rPr>
                <w:rFonts w:ascii="Arial" w:hAnsi="Arial" w:cs="Arial"/>
                <w:sz w:val="24"/>
                <w:szCs w:val="24"/>
              </w:rPr>
              <w:t>2.3</w:t>
            </w:r>
          </w:p>
        </w:tc>
        <w:tc>
          <w:tcPr>
            <w:tcW w:w="935" w:type="dxa"/>
          </w:tcPr>
          <w:p w14:paraId="064554E6" w14:textId="77777777" w:rsidR="00236A14" w:rsidRPr="00F41BE6" w:rsidRDefault="00236A14" w:rsidP="00CD433E">
            <w:pPr>
              <w:rPr>
                <w:rFonts w:ascii="Arial" w:hAnsi="Arial" w:cs="Arial"/>
                <w:sz w:val="24"/>
                <w:szCs w:val="24"/>
              </w:rPr>
            </w:pPr>
            <w:r w:rsidRPr="00F41BE6">
              <w:rPr>
                <w:rFonts w:ascii="Arial" w:hAnsi="Arial" w:cs="Arial"/>
                <w:sz w:val="24"/>
                <w:szCs w:val="24"/>
              </w:rPr>
              <w:t>2.2</w:t>
            </w:r>
          </w:p>
        </w:tc>
        <w:tc>
          <w:tcPr>
            <w:tcW w:w="936" w:type="dxa"/>
          </w:tcPr>
          <w:p w14:paraId="2CD6A6DD" w14:textId="77777777" w:rsidR="00236A14" w:rsidRPr="00F41BE6" w:rsidRDefault="00236A14" w:rsidP="00CD433E">
            <w:pPr>
              <w:rPr>
                <w:rFonts w:ascii="Arial" w:hAnsi="Arial" w:cs="Arial"/>
                <w:sz w:val="24"/>
                <w:szCs w:val="24"/>
              </w:rPr>
            </w:pPr>
            <w:r w:rsidRPr="00F41BE6">
              <w:rPr>
                <w:rFonts w:ascii="Arial" w:hAnsi="Arial" w:cs="Arial"/>
                <w:sz w:val="24"/>
                <w:szCs w:val="24"/>
              </w:rPr>
              <w:t>2.4</w:t>
            </w:r>
          </w:p>
        </w:tc>
        <w:tc>
          <w:tcPr>
            <w:tcW w:w="936" w:type="dxa"/>
          </w:tcPr>
          <w:p w14:paraId="41CC45AD" w14:textId="77777777" w:rsidR="00236A14" w:rsidRPr="00F41BE6" w:rsidRDefault="00236A14" w:rsidP="00CD433E">
            <w:pPr>
              <w:rPr>
                <w:rFonts w:ascii="Arial" w:hAnsi="Arial" w:cs="Arial"/>
                <w:sz w:val="24"/>
                <w:szCs w:val="24"/>
              </w:rPr>
            </w:pPr>
            <w:r w:rsidRPr="00F41BE6">
              <w:rPr>
                <w:rFonts w:ascii="Arial" w:hAnsi="Arial" w:cs="Arial"/>
                <w:sz w:val="24"/>
                <w:szCs w:val="24"/>
              </w:rPr>
              <w:t>2.0</w:t>
            </w:r>
          </w:p>
        </w:tc>
      </w:tr>
      <w:tr w:rsidR="00236A14" w:rsidRPr="00AE1ABB" w14:paraId="5CECCBF7" w14:textId="77777777" w:rsidTr="00CD433E">
        <w:trPr>
          <w:trHeight w:val="346"/>
          <w:jc w:val="center"/>
        </w:trPr>
        <w:tc>
          <w:tcPr>
            <w:tcW w:w="4649" w:type="dxa"/>
          </w:tcPr>
          <w:p w14:paraId="2B36C0A8" w14:textId="77777777" w:rsidR="00236A14" w:rsidRPr="00F41BE6" w:rsidRDefault="00236A14" w:rsidP="00CD433E">
            <w:pPr>
              <w:rPr>
                <w:rFonts w:ascii="Arial" w:hAnsi="Arial" w:cs="Arial"/>
                <w:sz w:val="24"/>
                <w:szCs w:val="24"/>
              </w:rPr>
            </w:pPr>
            <w:r w:rsidRPr="00F41BE6">
              <w:rPr>
                <w:rFonts w:ascii="Arial" w:hAnsi="Arial" w:cs="Arial"/>
                <w:sz w:val="24"/>
                <w:szCs w:val="24"/>
              </w:rPr>
              <w:t>Rate of inflation (%)</w:t>
            </w:r>
          </w:p>
        </w:tc>
        <w:tc>
          <w:tcPr>
            <w:tcW w:w="1030" w:type="dxa"/>
          </w:tcPr>
          <w:p w14:paraId="6E89B902" w14:textId="77777777" w:rsidR="00236A14" w:rsidRPr="00F41BE6" w:rsidRDefault="00236A14" w:rsidP="00CD433E">
            <w:pPr>
              <w:rPr>
                <w:rFonts w:ascii="Arial" w:hAnsi="Arial" w:cs="Arial"/>
                <w:sz w:val="24"/>
                <w:szCs w:val="24"/>
              </w:rPr>
            </w:pPr>
            <w:r w:rsidRPr="00F41BE6">
              <w:rPr>
                <w:rFonts w:ascii="Arial" w:hAnsi="Arial" w:cs="Arial"/>
                <w:sz w:val="24"/>
                <w:szCs w:val="24"/>
              </w:rPr>
              <w:t>3.2</w:t>
            </w:r>
          </w:p>
        </w:tc>
        <w:tc>
          <w:tcPr>
            <w:tcW w:w="936" w:type="dxa"/>
          </w:tcPr>
          <w:p w14:paraId="348B629C" w14:textId="77777777" w:rsidR="00236A14" w:rsidRPr="00F41BE6" w:rsidRDefault="00236A14" w:rsidP="00CD433E">
            <w:pPr>
              <w:rPr>
                <w:rFonts w:ascii="Arial" w:hAnsi="Arial" w:cs="Arial"/>
                <w:sz w:val="24"/>
                <w:szCs w:val="24"/>
              </w:rPr>
            </w:pPr>
            <w:r w:rsidRPr="00F41BE6">
              <w:rPr>
                <w:rFonts w:ascii="Arial" w:hAnsi="Arial" w:cs="Arial"/>
                <w:sz w:val="24"/>
                <w:szCs w:val="24"/>
              </w:rPr>
              <w:t>2.1</w:t>
            </w:r>
          </w:p>
        </w:tc>
        <w:tc>
          <w:tcPr>
            <w:tcW w:w="935" w:type="dxa"/>
          </w:tcPr>
          <w:p w14:paraId="6252CF44" w14:textId="77777777" w:rsidR="00236A14" w:rsidRPr="00F41BE6" w:rsidRDefault="00236A14" w:rsidP="00CD433E">
            <w:pPr>
              <w:rPr>
                <w:rFonts w:ascii="Arial" w:hAnsi="Arial" w:cs="Arial"/>
                <w:sz w:val="24"/>
                <w:szCs w:val="24"/>
              </w:rPr>
            </w:pPr>
            <w:r w:rsidRPr="00F41BE6">
              <w:rPr>
                <w:rFonts w:ascii="Arial" w:hAnsi="Arial" w:cs="Arial"/>
                <w:sz w:val="24"/>
                <w:szCs w:val="24"/>
              </w:rPr>
              <w:t>1.5</w:t>
            </w:r>
          </w:p>
        </w:tc>
        <w:tc>
          <w:tcPr>
            <w:tcW w:w="936" w:type="dxa"/>
          </w:tcPr>
          <w:p w14:paraId="1DE64051" w14:textId="77777777" w:rsidR="00236A14" w:rsidRPr="00F41BE6" w:rsidRDefault="00236A14" w:rsidP="00CD433E">
            <w:pPr>
              <w:rPr>
                <w:rFonts w:ascii="Arial" w:hAnsi="Arial" w:cs="Arial"/>
                <w:sz w:val="24"/>
                <w:szCs w:val="24"/>
              </w:rPr>
            </w:pPr>
            <w:r w:rsidRPr="00F41BE6">
              <w:rPr>
                <w:rFonts w:ascii="Arial" w:hAnsi="Arial" w:cs="Arial"/>
                <w:sz w:val="24"/>
                <w:szCs w:val="24"/>
              </w:rPr>
              <w:t>1.6</w:t>
            </w:r>
          </w:p>
        </w:tc>
        <w:tc>
          <w:tcPr>
            <w:tcW w:w="936" w:type="dxa"/>
          </w:tcPr>
          <w:p w14:paraId="253E2A63" w14:textId="77777777" w:rsidR="00236A14" w:rsidRPr="00F41BE6" w:rsidRDefault="00236A14" w:rsidP="00CD433E">
            <w:pPr>
              <w:rPr>
                <w:rFonts w:ascii="Arial" w:hAnsi="Arial" w:cs="Arial"/>
                <w:sz w:val="24"/>
                <w:szCs w:val="24"/>
              </w:rPr>
            </w:pPr>
            <w:r w:rsidRPr="00F41BE6">
              <w:rPr>
                <w:rFonts w:ascii="Arial" w:hAnsi="Arial" w:cs="Arial"/>
                <w:sz w:val="24"/>
                <w:szCs w:val="24"/>
              </w:rPr>
              <w:t>0.1</w:t>
            </w:r>
          </w:p>
        </w:tc>
      </w:tr>
      <w:tr w:rsidR="00236A14" w:rsidRPr="00AE1ABB" w14:paraId="6B127723" w14:textId="77777777" w:rsidTr="00CD433E">
        <w:trPr>
          <w:trHeight w:val="346"/>
          <w:jc w:val="center"/>
        </w:trPr>
        <w:tc>
          <w:tcPr>
            <w:tcW w:w="4649" w:type="dxa"/>
          </w:tcPr>
          <w:p w14:paraId="03599ED2" w14:textId="77777777" w:rsidR="00236A14" w:rsidRPr="00F41BE6" w:rsidRDefault="00236A14" w:rsidP="00CD433E">
            <w:pPr>
              <w:rPr>
                <w:rFonts w:ascii="Arial" w:hAnsi="Arial" w:cs="Arial"/>
                <w:sz w:val="24"/>
                <w:szCs w:val="24"/>
              </w:rPr>
            </w:pPr>
            <w:proofErr w:type="gramStart"/>
            <w:r w:rsidRPr="00F41BE6">
              <w:rPr>
                <w:rFonts w:ascii="Arial" w:hAnsi="Arial" w:cs="Arial"/>
                <w:sz w:val="24"/>
                <w:szCs w:val="24"/>
              </w:rPr>
              <w:t>Unemployment</w:t>
            </w:r>
            <w:r>
              <w:rPr>
                <w:rFonts w:ascii="Arial" w:hAnsi="Arial" w:cs="Arial"/>
                <w:sz w:val="24"/>
                <w:szCs w:val="24"/>
              </w:rPr>
              <w:t xml:space="preserve">  </w:t>
            </w:r>
            <w:r w:rsidRPr="00F41BE6">
              <w:rPr>
                <w:rFonts w:ascii="Arial" w:hAnsi="Arial" w:cs="Arial"/>
                <w:sz w:val="24"/>
                <w:szCs w:val="24"/>
              </w:rPr>
              <w:t>(</w:t>
            </w:r>
            <w:proofErr w:type="gramEnd"/>
            <w:r w:rsidRPr="00F41BE6">
              <w:rPr>
                <w:rFonts w:ascii="Arial" w:hAnsi="Arial" w:cs="Arial"/>
                <w:sz w:val="24"/>
                <w:szCs w:val="24"/>
              </w:rPr>
              <w:t>% of labour force)</w:t>
            </w:r>
          </w:p>
        </w:tc>
        <w:tc>
          <w:tcPr>
            <w:tcW w:w="1030" w:type="dxa"/>
          </w:tcPr>
          <w:p w14:paraId="202E9AD5" w14:textId="77777777" w:rsidR="00236A14" w:rsidRPr="00F41BE6" w:rsidRDefault="00236A14" w:rsidP="00CD433E">
            <w:pPr>
              <w:rPr>
                <w:rFonts w:ascii="Arial" w:hAnsi="Arial" w:cs="Arial"/>
                <w:sz w:val="24"/>
                <w:szCs w:val="24"/>
              </w:rPr>
            </w:pPr>
            <w:r w:rsidRPr="00F41BE6">
              <w:rPr>
                <w:rFonts w:ascii="Arial" w:hAnsi="Arial" w:cs="Arial"/>
                <w:sz w:val="24"/>
                <w:szCs w:val="24"/>
              </w:rPr>
              <w:t>9.0</w:t>
            </w:r>
          </w:p>
        </w:tc>
        <w:tc>
          <w:tcPr>
            <w:tcW w:w="936" w:type="dxa"/>
          </w:tcPr>
          <w:p w14:paraId="36F6AE3A" w14:textId="77777777" w:rsidR="00236A14" w:rsidRPr="00F41BE6" w:rsidRDefault="00236A14" w:rsidP="00CD433E">
            <w:pPr>
              <w:rPr>
                <w:rFonts w:ascii="Arial" w:hAnsi="Arial" w:cs="Arial"/>
                <w:sz w:val="24"/>
                <w:szCs w:val="24"/>
              </w:rPr>
            </w:pPr>
            <w:r w:rsidRPr="00F41BE6">
              <w:rPr>
                <w:rFonts w:ascii="Arial" w:hAnsi="Arial" w:cs="Arial"/>
                <w:sz w:val="24"/>
                <w:szCs w:val="24"/>
              </w:rPr>
              <w:t>8.2</w:t>
            </w:r>
          </w:p>
        </w:tc>
        <w:tc>
          <w:tcPr>
            <w:tcW w:w="935" w:type="dxa"/>
          </w:tcPr>
          <w:p w14:paraId="3086C089" w14:textId="77777777" w:rsidR="00236A14" w:rsidRPr="00F41BE6" w:rsidRDefault="00236A14" w:rsidP="00CD433E">
            <w:pPr>
              <w:rPr>
                <w:rFonts w:ascii="Arial" w:hAnsi="Arial" w:cs="Arial"/>
                <w:sz w:val="24"/>
                <w:szCs w:val="24"/>
              </w:rPr>
            </w:pPr>
            <w:r w:rsidRPr="00F41BE6">
              <w:rPr>
                <w:rFonts w:ascii="Arial" w:hAnsi="Arial" w:cs="Arial"/>
                <w:sz w:val="24"/>
                <w:szCs w:val="24"/>
              </w:rPr>
              <w:t>7.4</w:t>
            </w:r>
          </w:p>
        </w:tc>
        <w:tc>
          <w:tcPr>
            <w:tcW w:w="936" w:type="dxa"/>
          </w:tcPr>
          <w:p w14:paraId="3C951CF7" w14:textId="77777777" w:rsidR="00236A14" w:rsidRPr="00F41BE6" w:rsidRDefault="00236A14" w:rsidP="00CD433E">
            <w:pPr>
              <w:rPr>
                <w:rFonts w:ascii="Arial" w:hAnsi="Arial" w:cs="Arial"/>
                <w:sz w:val="24"/>
                <w:szCs w:val="24"/>
              </w:rPr>
            </w:pPr>
            <w:r w:rsidRPr="00F41BE6">
              <w:rPr>
                <w:rFonts w:ascii="Arial" w:hAnsi="Arial" w:cs="Arial"/>
                <w:sz w:val="24"/>
                <w:szCs w:val="24"/>
              </w:rPr>
              <w:t>6.2</w:t>
            </w:r>
          </w:p>
        </w:tc>
        <w:tc>
          <w:tcPr>
            <w:tcW w:w="936" w:type="dxa"/>
          </w:tcPr>
          <w:p w14:paraId="3F84F75D" w14:textId="77777777" w:rsidR="00236A14" w:rsidRPr="00F41BE6" w:rsidRDefault="00236A14" w:rsidP="00CD433E">
            <w:pPr>
              <w:rPr>
                <w:rFonts w:ascii="Arial" w:hAnsi="Arial" w:cs="Arial"/>
                <w:sz w:val="24"/>
                <w:szCs w:val="24"/>
              </w:rPr>
            </w:pPr>
            <w:r w:rsidRPr="00F41BE6">
              <w:rPr>
                <w:rFonts w:ascii="Arial" w:hAnsi="Arial" w:cs="Arial"/>
                <w:sz w:val="24"/>
                <w:szCs w:val="24"/>
              </w:rPr>
              <w:t>5.0</w:t>
            </w:r>
          </w:p>
        </w:tc>
      </w:tr>
      <w:tr w:rsidR="00236A14" w:rsidRPr="00AE1ABB" w14:paraId="13295E43" w14:textId="77777777" w:rsidTr="00CD433E">
        <w:trPr>
          <w:trHeight w:val="346"/>
          <w:jc w:val="center"/>
        </w:trPr>
        <w:tc>
          <w:tcPr>
            <w:tcW w:w="4649" w:type="dxa"/>
          </w:tcPr>
          <w:p w14:paraId="3E715713" w14:textId="77777777" w:rsidR="00236A14" w:rsidRPr="00F41BE6" w:rsidRDefault="00236A14" w:rsidP="00CD433E">
            <w:pPr>
              <w:rPr>
                <w:rFonts w:ascii="Arial" w:hAnsi="Arial" w:cs="Arial"/>
                <w:sz w:val="24"/>
                <w:szCs w:val="24"/>
              </w:rPr>
            </w:pPr>
            <w:r w:rsidRPr="00F41BE6">
              <w:rPr>
                <w:rFonts w:ascii="Arial" w:hAnsi="Arial" w:cs="Arial"/>
                <w:sz w:val="24"/>
                <w:szCs w:val="24"/>
              </w:rPr>
              <w:t xml:space="preserve">Government budget balance (% of </w:t>
            </w:r>
            <w:r>
              <w:rPr>
                <w:rFonts w:ascii="Arial" w:hAnsi="Arial" w:cs="Arial"/>
                <w:sz w:val="24"/>
                <w:szCs w:val="24"/>
              </w:rPr>
              <w:t>G</w:t>
            </w:r>
            <w:r w:rsidRPr="00F41BE6">
              <w:rPr>
                <w:rFonts w:ascii="Arial" w:hAnsi="Arial" w:cs="Arial"/>
                <w:sz w:val="24"/>
                <w:szCs w:val="24"/>
              </w:rPr>
              <w:t xml:space="preserve">DP) </w:t>
            </w:r>
          </w:p>
        </w:tc>
        <w:tc>
          <w:tcPr>
            <w:tcW w:w="1030" w:type="dxa"/>
          </w:tcPr>
          <w:p w14:paraId="1D265A55" w14:textId="77777777" w:rsidR="00236A14" w:rsidRPr="00F41BE6" w:rsidRDefault="00236A14" w:rsidP="00CD433E">
            <w:pPr>
              <w:rPr>
                <w:rFonts w:ascii="Arial" w:hAnsi="Arial" w:cs="Arial"/>
                <w:sz w:val="24"/>
                <w:szCs w:val="24"/>
              </w:rPr>
            </w:pPr>
            <w:r w:rsidRPr="00F41BE6">
              <w:rPr>
                <w:rFonts w:ascii="Arial" w:hAnsi="Arial" w:cs="Arial"/>
                <w:sz w:val="24"/>
                <w:szCs w:val="24"/>
              </w:rPr>
              <w:t>-10.7</w:t>
            </w:r>
          </w:p>
        </w:tc>
        <w:tc>
          <w:tcPr>
            <w:tcW w:w="936" w:type="dxa"/>
          </w:tcPr>
          <w:p w14:paraId="63642DF7" w14:textId="77777777" w:rsidR="00236A14" w:rsidRPr="00F41BE6" w:rsidRDefault="00236A14" w:rsidP="00CD433E">
            <w:pPr>
              <w:rPr>
                <w:rFonts w:ascii="Arial" w:hAnsi="Arial" w:cs="Arial"/>
                <w:sz w:val="24"/>
                <w:szCs w:val="24"/>
              </w:rPr>
            </w:pPr>
            <w:r w:rsidRPr="00F41BE6">
              <w:rPr>
                <w:rFonts w:ascii="Arial" w:hAnsi="Arial" w:cs="Arial"/>
                <w:sz w:val="24"/>
                <w:szCs w:val="24"/>
              </w:rPr>
              <w:t>-9.3</w:t>
            </w:r>
          </w:p>
        </w:tc>
        <w:tc>
          <w:tcPr>
            <w:tcW w:w="935" w:type="dxa"/>
          </w:tcPr>
          <w:p w14:paraId="15445AB0" w14:textId="77777777" w:rsidR="00236A14" w:rsidRPr="00F41BE6" w:rsidRDefault="00236A14" w:rsidP="00CD433E">
            <w:pPr>
              <w:rPr>
                <w:rFonts w:ascii="Arial" w:hAnsi="Arial" w:cs="Arial"/>
                <w:sz w:val="24"/>
                <w:szCs w:val="24"/>
              </w:rPr>
            </w:pPr>
            <w:r w:rsidRPr="00F41BE6">
              <w:rPr>
                <w:rFonts w:ascii="Arial" w:hAnsi="Arial" w:cs="Arial"/>
                <w:sz w:val="24"/>
                <w:szCs w:val="24"/>
              </w:rPr>
              <w:t>-6.4</w:t>
            </w:r>
          </w:p>
        </w:tc>
        <w:tc>
          <w:tcPr>
            <w:tcW w:w="936" w:type="dxa"/>
          </w:tcPr>
          <w:p w14:paraId="7A57D25F" w14:textId="77777777" w:rsidR="00236A14" w:rsidRPr="00F41BE6" w:rsidRDefault="00236A14" w:rsidP="00CD433E">
            <w:pPr>
              <w:rPr>
                <w:rFonts w:ascii="Arial" w:hAnsi="Arial" w:cs="Arial"/>
                <w:sz w:val="24"/>
                <w:szCs w:val="24"/>
              </w:rPr>
            </w:pPr>
            <w:r w:rsidRPr="00F41BE6">
              <w:rPr>
                <w:rFonts w:ascii="Arial" w:hAnsi="Arial" w:cs="Arial"/>
                <w:sz w:val="24"/>
                <w:szCs w:val="24"/>
              </w:rPr>
              <w:t>-5.8</w:t>
            </w:r>
          </w:p>
        </w:tc>
        <w:tc>
          <w:tcPr>
            <w:tcW w:w="936" w:type="dxa"/>
          </w:tcPr>
          <w:p w14:paraId="162E8ECF" w14:textId="77777777" w:rsidR="00236A14" w:rsidRPr="00F41BE6" w:rsidRDefault="00236A14" w:rsidP="00CD433E">
            <w:pPr>
              <w:rPr>
                <w:rFonts w:ascii="Arial" w:hAnsi="Arial" w:cs="Arial"/>
                <w:sz w:val="24"/>
                <w:szCs w:val="24"/>
              </w:rPr>
            </w:pPr>
            <w:r w:rsidRPr="00F41BE6">
              <w:rPr>
                <w:rFonts w:ascii="Arial" w:hAnsi="Arial" w:cs="Arial"/>
                <w:sz w:val="24"/>
                <w:szCs w:val="24"/>
              </w:rPr>
              <w:t>-2.4</w:t>
            </w:r>
          </w:p>
        </w:tc>
      </w:tr>
      <w:tr w:rsidR="00236A14" w:rsidRPr="00F41BE6" w14:paraId="33D7849B" w14:textId="77777777" w:rsidTr="00CD433E">
        <w:trPr>
          <w:trHeight w:val="346"/>
          <w:jc w:val="center"/>
        </w:trPr>
        <w:tc>
          <w:tcPr>
            <w:tcW w:w="4649" w:type="dxa"/>
          </w:tcPr>
          <w:p w14:paraId="3511F99F" w14:textId="77777777" w:rsidR="00236A14" w:rsidRPr="00F41BE6" w:rsidRDefault="00236A14" w:rsidP="00CD433E">
            <w:pPr>
              <w:rPr>
                <w:rFonts w:ascii="Arial" w:hAnsi="Arial" w:cs="Arial"/>
                <w:sz w:val="24"/>
                <w:szCs w:val="24"/>
              </w:rPr>
            </w:pPr>
            <w:r w:rsidRPr="00F41BE6">
              <w:rPr>
                <w:rFonts w:ascii="Arial" w:hAnsi="Arial" w:cs="Arial"/>
                <w:sz w:val="24"/>
                <w:szCs w:val="24"/>
              </w:rPr>
              <w:t>Current account balance</w:t>
            </w:r>
            <w:r>
              <w:rPr>
                <w:rFonts w:ascii="Arial" w:hAnsi="Arial" w:cs="Arial"/>
                <w:sz w:val="24"/>
                <w:szCs w:val="24"/>
              </w:rPr>
              <w:t xml:space="preserve"> </w:t>
            </w:r>
            <w:r w:rsidRPr="00F41BE6">
              <w:rPr>
                <w:rFonts w:ascii="Arial" w:hAnsi="Arial" w:cs="Arial"/>
                <w:sz w:val="24"/>
                <w:szCs w:val="24"/>
              </w:rPr>
              <w:t>(US$ billion)</w:t>
            </w:r>
          </w:p>
        </w:tc>
        <w:tc>
          <w:tcPr>
            <w:tcW w:w="1030" w:type="dxa"/>
          </w:tcPr>
          <w:p w14:paraId="0DA214F8" w14:textId="77777777" w:rsidR="00236A14" w:rsidRPr="00F41BE6" w:rsidRDefault="00236A14" w:rsidP="00CD433E">
            <w:pPr>
              <w:jc w:val="center"/>
              <w:rPr>
                <w:rFonts w:ascii="Arial" w:hAnsi="Arial" w:cs="Arial"/>
                <w:sz w:val="24"/>
                <w:szCs w:val="24"/>
              </w:rPr>
            </w:pPr>
            <w:r>
              <w:rPr>
                <w:rFonts w:ascii="Arial" w:hAnsi="Arial" w:cs="Arial"/>
                <w:sz w:val="24"/>
                <w:szCs w:val="24"/>
              </w:rPr>
              <w:t>-</w:t>
            </w:r>
            <w:r w:rsidRPr="00F41BE6">
              <w:rPr>
                <w:rFonts w:ascii="Arial" w:hAnsi="Arial" w:cs="Arial"/>
                <w:sz w:val="24"/>
                <w:szCs w:val="24"/>
              </w:rPr>
              <w:t>460.4</w:t>
            </w:r>
          </w:p>
        </w:tc>
        <w:tc>
          <w:tcPr>
            <w:tcW w:w="936" w:type="dxa"/>
          </w:tcPr>
          <w:p w14:paraId="1E0B1728"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-449.7</w:t>
            </w:r>
          </w:p>
        </w:tc>
        <w:tc>
          <w:tcPr>
            <w:tcW w:w="935" w:type="dxa"/>
          </w:tcPr>
          <w:p w14:paraId="2A8421B0"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-376.8</w:t>
            </w:r>
          </w:p>
        </w:tc>
        <w:tc>
          <w:tcPr>
            <w:tcW w:w="936" w:type="dxa"/>
          </w:tcPr>
          <w:p w14:paraId="2A0D33B5"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-389.5</w:t>
            </w:r>
          </w:p>
        </w:tc>
        <w:tc>
          <w:tcPr>
            <w:tcW w:w="936" w:type="dxa"/>
          </w:tcPr>
          <w:p w14:paraId="57856744"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-484.1</w:t>
            </w:r>
          </w:p>
        </w:tc>
      </w:tr>
    </w:tbl>
    <w:p w14:paraId="6E06ED2C" w14:textId="77777777" w:rsidR="00236A14" w:rsidRPr="00534001" w:rsidRDefault="00236A14" w:rsidP="00236A14">
      <w:pPr>
        <w:spacing w:after="0"/>
        <w:jc w:val="center"/>
        <w:rPr>
          <w:rFonts w:ascii="Arial" w:hAnsi="Arial" w:cs="Arial"/>
          <w:b/>
          <w:bCs/>
          <w:sz w:val="14"/>
          <w:szCs w:val="14"/>
        </w:rPr>
      </w:pPr>
      <w:r w:rsidRPr="00F41BE6">
        <w:rPr>
          <w:rFonts w:ascii="Arial" w:hAnsi="Arial" w:cs="Arial"/>
          <w:b/>
          <w:bCs/>
          <w:sz w:val="24"/>
          <w:szCs w:val="24"/>
        </w:rPr>
        <w:t xml:space="preserve">Table </w:t>
      </w:r>
      <w:r>
        <w:rPr>
          <w:rFonts w:ascii="Arial" w:hAnsi="Arial" w:cs="Arial"/>
          <w:b/>
          <w:bCs/>
          <w:sz w:val="24"/>
          <w:szCs w:val="24"/>
        </w:rPr>
        <w:t>3</w:t>
      </w:r>
      <w:r w:rsidRPr="00F41BE6">
        <w:rPr>
          <w:rFonts w:ascii="Arial" w:hAnsi="Arial" w:cs="Arial"/>
          <w:b/>
          <w:bCs/>
          <w:sz w:val="24"/>
          <w:szCs w:val="24"/>
        </w:rPr>
        <w:t>: Macroeconomic Indicators (Singapore)</w:t>
      </w:r>
      <w:r>
        <w:rPr>
          <w:rFonts w:ascii="Arial" w:hAnsi="Arial" w:cs="Arial"/>
          <w:b/>
          <w:bCs/>
          <w:sz w:val="24"/>
          <w:szCs w:val="24"/>
        </w:rPr>
        <w:br/>
      </w:r>
    </w:p>
    <w:tbl>
      <w:tblPr>
        <w:tblStyle w:val="TableGrid"/>
        <w:tblW w:w="9493" w:type="dxa"/>
        <w:jc w:val="center"/>
        <w:tblLook w:val="04A0" w:firstRow="1" w:lastRow="0" w:firstColumn="1" w:lastColumn="0" w:noHBand="0" w:noVBand="1"/>
      </w:tblPr>
      <w:tblGrid>
        <w:gridCol w:w="4673"/>
        <w:gridCol w:w="964"/>
        <w:gridCol w:w="964"/>
        <w:gridCol w:w="964"/>
        <w:gridCol w:w="964"/>
        <w:gridCol w:w="964"/>
      </w:tblGrid>
      <w:tr w:rsidR="00236A14" w:rsidRPr="00F41BE6" w14:paraId="37C8EC05" w14:textId="77777777" w:rsidTr="00CD433E">
        <w:trPr>
          <w:jc w:val="center"/>
        </w:trPr>
        <w:tc>
          <w:tcPr>
            <w:tcW w:w="4673" w:type="dxa"/>
          </w:tcPr>
          <w:p w14:paraId="1AC59A09" w14:textId="77777777" w:rsidR="00236A14" w:rsidRPr="00F41BE6" w:rsidRDefault="00236A14" w:rsidP="00CD433E">
            <w:pPr>
              <w:rPr>
                <w:rFonts w:ascii="Arial" w:hAnsi="Arial" w:cs="Arial"/>
                <w:sz w:val="24"/>
                <w:szCs w:val="24"/>
              </w:rPr>
            </w:pPr>
          </w:p>
        </w:tc>
        <w:tc>
          <w:tcPr>
            <w:tcW w:w="964" w:type="dxa"/>
          </w:tcPr>
          <w:p w14:paraId="29B31839"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2011</w:t>
            </w:r>
          </w:p>
        </w:tc>
        <w:tc>
          <w:tcPr>
            <w:tcW w:w="964" w:type="dxa"/>
          </w:tcPr>
          <w:p w14:paraId="56B50B16"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2012</w:t>
            </w:r>
          </w:p>
        </w:tc>
        <w:tc>
          <w:tcPr>
            <w:tcW w:w="964" w:type="dxa"/>
          </w:tcPr>
          <w:p w14:paraId="7A7736A9"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2013</w:t>
            </w:r>
          </w:p>
        </w:tc>
        <w:tc>
          <w:tcPr>
            <w:tcW w:w="964" w:type="dxa"/>
          </w:tcPr>
          <w:p w14:paraId="4A78F245"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2014</w:t>
            </w:r>
          </w:p>
        </w:tc>
        <w:tc>
          <w:tcPr>
            <w:tcW w:w="964" w:type="dxa"/>
          </w:tcPr>
          <w:p w14:paraId="1CF32B18"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2015</w:t>
            </w:r>
          </w:p>
        </w:tc>
      </w:tr>
      <w:tr w:rsidR="00236A14" w:rsidRPr="00F41BE6" w14:paraId="42AF3488" w14:textId="77777777" w:rsidTr="00CD433E">
        <w:trPr>
          <w:trHeight w:val="392"/>
          <w:jc w:val="center"/>
        </w:trPr>
        <w:tc>
          <w:tcPr>
            <w:tcW w:w="4673" w:type="dxa"/>
          </w:tcPr>
          <w:p w14:paraId="32134D6A" w14:textId="77777777" w:rsidR="00236A14" w:rsidRPr="00F41BE6" w:rsidRDefault="00236A14" w:rsidP="00CD433E">
            <w:pPr>
              <w:rPr>
                <w:rFonts w:ascii="Arial" w:hAnsi="Arial" w:cs="Arial"/>
                <w:sz w:val="24"/>
                <w:szCs w:val="24"/>
              </w:rPr>
            </w:pPr>
            <w:r>
              <w:rPr>
                <w:rFonts w:ascii="Arial" w:hAnsi="Arial" w:cs="Arial"/>
                <w:sz w:val="24"/>
                <w:szCs w:val="24"/>
              </w:rPr>
              <w:t>Real GDP g</w:t>
            </w:r>
            <w:r w:rsidRPr="00F41BE6">
              <w:rPr>
                <w:rFonts w:ascii="Arial" w:hAnsi="Arial" w:cs="Arial"/>
                <w:sz w:val="24"/>
                <w:szCs w:val="24"/>
              </w:rPr>
              <w:t>rowth</w:t>
            </w:r>
            <w:r>
              <w:rPr>
                <w:rFonts w:ascii="Arial" w:hAnsi="Arial" w:cs="Arial"/>
                <w:sz w:val="24"/>
                <w:szCs w:val="24"/>
              </w:rPr>
              <w:t xml:space="preserve"> </w:t>
            </w:r>
            <w:r w:rsidRPr="00F41BE6">
              <w:rPr>
                <w:rFonts w:ascii="Arial" w:hAnsi="Arial" w:cs="Arial"/>
                <w:sz w:val="24"/>
                <w:szCs w:val="24"/>
              </w:rPr>
              <w:t>(% per year)</w:t>
            </w:r>
          </w:p>
        </w:tc>
        <w:tc>
          <w:tcPr>
            <w:tcW w:w="964" w:type="dxa"/>
          </w:tcPr>
          <w:p w14:paraId="298DADEE"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6.2</w:t>
            </w:r>
          </w:p>
        </w:tc>
        <w:tc>
          <w:tcPr>
            <w:tcW w:w="964" w:type="dxa"/>
          </w:tcPr>
          <w:p w14:paraId="3B5655CF"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3.4</w:t>
            </w:r>
          </w:p>
        </w:tc>
        <w:tc>
          <w:tcPr>
            <w:tcW w:w="964" w:type="dxa"/>
          </w:tcPr>
          <w:p w14:paraId="7A26B193"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4.4</w:t>
            </w:r>
          </w:p>
        </w:tc>
        <w:tc>
          <w:tcPr>
            <w:tcW w:w="964" w:type="dxa"/>
          </w:tcPr>
          <w:p w14:paraId="39774A44"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2.9</w:t>
            </w:r>
          </w:p>
        </w:tc>
        <w:tc>
          <w:tcPr>
            <w:tcW w:w="964" w:type="dxa"/>
          </w:tcPr>
          <w:p w14:paraId="3068E1E7"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2.0</w:t>
            </w:r>
          </w:p>
        </w:tc>
      </w:tr>
      <w:tr w:rsidR="00236A14" w:rsidRPr="00F41BE6" w14:paraId="7568588C" w14:textId="77777777" w:rsidTr="00CD433E">
        <w:trPr>
          <w:trHeight w:val="392"/>
          <w:jc w:val="center"/>
        </w:trPr>
        <w:tc>
          <w:tcPr>
            <w:tcW w:w="4673" w:type="dxa"/>
          </w:tcPr>
          <w:p w14:paraId="567F2889" w14:textId="77777777" w:rsidR="00236A14" w:rsidRPr="00F41BE6" w:rsidRDefault="00236A14" w:rsidP="00CD433E">
            <w:pPr>
              <w:rPr>
                <w:rFonts w:ascii="Arial" w:hAnsi="Arial" w:cs="Arial"/>
                <w:sz w:val="24"/>
                <w:szCs w:val="24"/>
              </w:rPr>
            </w:pPr>
            <w:r w:rsidRPr="00F41BE6">
              <w:rPr>
                <w:rFonts w:ascii="Arial" w:hAnsi="Arial" w:cs="Arial"/>
                <w:sz w:val="24"/>
                <w:szCs w:val="24"/>
              </w:rPr>
              <w:t>Rate of inflation (%)</w:t>
            </w:r>
          </w:p>
        </w:tc>
        <w:tc>
          <w:tcPr>
            <w:tcW w:w="964" w:type="dxa"/>
          </w:tcPr>
          <w:p w14:paraId="6742F585"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5.3</w:t>
            </w:r>
          </w:p>
        </w:tc>
        <w:tc>
          <w:tcPr>
            <w:tcW w:w="964" w:type="dxa"/>
          </w:tcPr>
          <w:p w14:paraId="0ED1E2C9"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4.5</w:t>
            </w:r>
          </w:p>
        </w:tc>
        <w:tc>
          <w:tcPr>
            <w:tcW w:w="964" w:type="dxa"/>
          </w:tcPr>
          <w:p w14:paraId="24F5E8FA"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2.4</w:t>
            </w:r>
          </w:p>
        </w:tc>
        <w:tc>
          <w:tcPr>
            <w:tcW w:w="964" w:type="dxa"/>
          </w:tcPr>
          <w:p w14:paraId="08F77BE4"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1.0</w:t>
            </w:r>
          </w:p>
        </w:tc>
        <w:tc>
          <w:tcPr>
            <w:tcW w:w="964" w:type="dxa"/>
          </w:tcPr>
          <w:p w14:paraId="19588EBB"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-0.5</w:t>
            </w:r>
          </w:p>
        </w:tc>
      </w:tr>
      <w:tr w:rsidR="00236A14" w:rsidRPr="00F41BE6" w14:paraId="76F880A2" w14:textId="77777777" w:rsidTr="00CD433E">
        <w:trPr>
          <w:trHeight w:val="392"/>
          <w:jc w:val="center"/>
        </w:trPr>
        <w:tc>
          <w:tcPr>
            <w:tcW w:w="4673" w:type="dxa"/>
          </w:tcPr>
          <w:p w14:paraId="3F19F10A" w14:textId="77777777" w:rsidR="00236A14" w:rsidRPr="00F41BE6" w:rsidRDefault="00236A14" w:rsidP="00CD433E">
            <w:pPr>
              <w:rPr>
                <w:rFonts w:ascii="Arial" w:hAnsi="Arial" w:cs="Arial"/>
                <w:sz w:val="24"/>
                <w:szCs w:val="24"/>
              </w:rPr>
            </w:pPr>
            <w:r w:rsidRPr="00F41BE6">
              <w:rPr>
                <w:rFonts w:ascii="Arial" w:hAnsi="Arial" w:cs="Arial"/>
                <w:sz w:val="24"/>
                <w:szCs w:val="24"/>
              </w:rPr>
              <w:t>Unemployment</w:t>
            </w:r>
            <w:r>
              <w:rPr>
                <w:rFonts w:ascii="Arial" w:hAnsi="Arial" w:cs="Arial"/>
                <w:sz w:val="24"/>
                <w:szCs w:val="24"/>
              </w:rPr>
              <w:t xml:space="preserve">  </w:t>
            </w:r>
            <w:r w:rsidRPr="00F41BE6">
              <w:rPr>
                <w:rFonts w:ascii="Arial" w:hAnsi="Arial" w:cs="Arial"/>
                <w:sz w:val="24"/>
                <w:szCs w:val="24"/>
              </w:rPr>
              <w:t>(% of labour force)</w:t>
            </w:r>
          </w:p>
        </w:tc>
        <w:tc>
          <w:tcPr>
            <w:tcW w:w="964" w:type="dxa"/>
          </w:tcPr>
          <w:p w14:paraId="6140E1F9"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2.9</w:t>
            </w:r>
          </w:p>
        </w:tc>
        <w:tc>
          <w:tcPr>
            <w:tcW w:w="964" w:type="dxa"/>
          </w:tcPr>
          <w:p w14:paraId="112A0964"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2.8</w:t>
            </w:r>
          </w:p>
        </w:tc>
        <w:tc>
          <w:tcPr>
            <w:tcW w:w="964" w:type="dxa"/>
          </w:tcPr>
          <w:p w14:paraId="14B70571"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2.8</w:t>
            </w:r>
          </w:p>
        </w:tc>
        <w:tc>
          <w:tcPr>
            <w:tcW w:w="964" w:type="dxa"/>
          </w:tcPr>
          <w:p w14:paraId="4C5877CC"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2.7</w:t>
            </w:r>
          </w:p>
        </w:tc>
        <w:tc>
          <w:tcPr>
            <w:tcW w:w="964" w:type="dxa"/>
          </w:tcPr>
          <w:p w14:paraId="78F8AC57"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2.8</w:t>
            </w:r>
          </w:p>
        </w:tc>
      </w:tr>
      <w:tr w:rsidR="00236A14" w:rsidRPr="00F41BE6" w14:paraId="5F742FE8" w14:textId="77777777" w:rsidTr="00CD433E">
        <w:trPr>
          <w:trHeight w:val="392"/>
          <w:jc w:val="center"/>
        </w:trPr>
        <w:tc>
          <w:tcPr>
            <w:tcW w:w="4673" w:type="dxa"/>
          </w:tcPr>
          <w:p w14:paraId="366BD0F2" w14:textId="77777777" w:rsidR="00236A14" w:rsidRPr="00F41BE6" w:rsidRDefault="00236A14" w:rsidP="00CD433E">
            <w:pPr>
              <w:rPr>
                <w:rFonts w:ascii="Arial" w:hAnsi="Arial" w:cs="Arial"/>
                <w:sz w:val="24"/>
                <w:szCs w:val="24"/>
              </w:rPr>
            </w:pPr>
            <w:r w:rsidRPr="00F41BE6">
              <w:rPr>
                <w:rFonts w:ascii="Arial" w:hAnsi="Arial" w:cs="Arial"/>
                <w:sz w:val="24"/>
                <w:szCs w:val="24"/>
              </w:rPr>
              <w:t xml:space="preserve">Government budget balance (% of GDP) </w:t>
            </w:r>
          </w:p>
        </w:tc>
        <w:tc>
          <w:tcPr>
            <w:tcW w:w="964" w:type="dxa"/>
          </w:tcPr>
          <w:p w14:paraId="613BA4C3"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1.2</w:t>
            </w:r>
          </w:p>
        </w:tc>
        <w:tc>
          <w:tcPr>
            <w:tcW w:w="964" w:type="dxa"/>
          </w:tcPr>
          <w:p w14:paraId="482CA64E"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1.7</w:t>
            </w:r>
          </w:p>
        </w:tc>
        <w:tc>
          <w:tcPr>
            <w:tcW w:w="964" w:type="dxa"/>
          </w:tcPr>
          <w:p w14:paraId="73F4D387"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1.1</w:t>
            </w:r>
          </w:p>
        </w:tc>
        <w:tc>
          <w:tcPr>
            <w:tcW w:w="964" w:type="dxa"/>
          </w:tcPr>
          <w:p w14:paraId="1263D00A"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-0.3</w:t>
            </w:r>
          </w:p>
        </w:tc>
        <w:tc>
          <w:tcPr>
            <w:tcW w:w="964" w:type="dxa"/>
          </w:tcPr>
          <w:p w14:paraId="1A30DBFD"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-1.2</w:t>
            </w:r>
          </w:p>
        </w:tc>
      </w:tr>
      <w:tr w:rsidR="00236A14" w:rsidRPr="00F41BE6" w14:paraId="5C8B1DE9" w14:textId="77777777" w:rsidTr="00CD433E">
        <w:trPr>
          <w:trHeight w:val="392"/>
          <w:jc w:val="center"/>
        </w:trPr>
        <w:tc>
          <w:tcPr>
            <w:tcW w:w="4673" w:type="dxa"/>
          </w:tcPr>
          <w:p w14:paraId="075EBD90" w14:textId="77777777" w:rsidR="00236A14" w:rsidRPr="00F41BE6" w:rsidRDefault="00236A14" w:rsidP="00CD433E">
            <w:pPr>
              <w:rPr>
                <w:rFonts w:ascii="Arial" w:hAnsi="Arial" w:cs="Arial"/>
                <w:sz w:val="24"/>
                <w:szCs w:val="24"/>
              </w:rPr>
            </w:pPr>
            <w:r w:rsidRPr="00F41BE6">
              <w:rPr>
                <w:rFonts w:ascii="Arial" w:hAnsi="Arial" w:cs="Arial"/>
                <w:sz w:val="24"/>
                <w:szCs w:val="24"/>
              </w:rPr>
              <w:t>Current account balance (US$ billion)</w:t>
            </w:r>
          </w:p>
        </w:tc>
        <w:tc>
          <w:tcPr>
            <w:tcW w:w="964" w:type="dxa"/>
          </w:tcPr>
          <w:p w14:paraId="589AEE77"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60.6</w:t>
            </w:r>
          </w:p>
        </w:tc>
        <w:tc>
          <w:tcPr>
            <w:tcW w:w="964" w:type="dxa"/>
          </w:tcPr>
          <w:p w14:paraId="4ABB2B10"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49.8</w:t>
            </w:r>
          </w:p>
        </w:tc>
        <w:tc>
          <w:tcPr>
            <w:tcW w:w="964" w:type="dxa"/>
          </w:tcPr>
          <w:p w14:paraId="096FEADE"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54.1</w:t>
            </w:r>
          </w:p>
        </w:tc>
        <w:tc>
          <w:tcPr>
            <w:tcW w:w="964" w:type="dxa"/>
          </w:tcPr>
          <w:p w14:paraId="25920943"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58.8</w:t>
            </w:r>
          </w:p>
        </w:tc>
        <w:tc>
          <w:tcPr>
            <w:tcW w:w="964" w:type="dxa"/>
          </w:tcPr>
          <w:p w14:paraId="6E7A152C" w14:textId="77777777" w:rsidR="00236A14" w:rsidRPr="00F41BE6" w:rsidRDefault="00236A14" w:rsidP="00CD433E">
            <w:pPr>
              <w:jc w:val="center"/>
              <w:rPr>
                <w:rFonts w:ascii="Arial" w:hAnsi="Arial" w:cs="Arial"/>
                <w:sz w:val="24"/>
                <w:szCs w:val="24"/>
              </w:rPr>
            </w:pPr>
            <w:r w:rsidRPr="00F41BE6">
              <w:rPr>
                <w:rFonts w:ascii="Arial" w:hAnsi="Arial" w:cs="Arial"/>
                <w:sz w:val="24"/>
                <w:szCs w:val="24"/>
              </w:rPr>
              <w:t>57.5</w:t>
            </w:r>
          </w:p>
        </w:tc>
      </w:tr>
    </w:tbl>
    <w:p w14:paraId="60076742" w14:textId="77777777" w:rsidR="00236A14" w:rsidRPr="009B169D" w:rsidRDefault="00236A14" w:rsidP="00236A14">
      <w:pPr>
        <w:spacing w:after="0" w:line="240" w:lineRule="auto"/>
        <w:jc w:val="right"/>
        <w:rPr>
          <w:rFonts w:ascii="Arial" w:hAnsi="Arial" w:cs="Arial"/>
          <w:i/>
          <w:sz w:val="16"/>
          <w:szCs w:val="16"/>
        </w:rPr>
      </w:pPr>
    </w:p>
    <w:p w14:paraId="1711333C" w14:textId="77777777" w:rsidR="00236A14" w:rsidRPr="009F5CCE" w:rsidRDefault="00236A14" w:rsidP="00236A14">
      <w:pPr>
        <w:spacing w:after="0" w:line="240" w:lineRule="auto"/>
        <w:jc w:val="right"/>
        <w:rPr>
          <w:rFonts w:ascii="Arial" w:hAnsi="Arial" w:cs="Arial"/>
          <w:iCs/>
        </w:rPr>
      </w:pPr>
      <w:r w:rsidRPr="009F5CCE">
        <w:rPr>
          <w:rFonts w:ascii="Arial" w:hAnsi="Arial" w:cs="Arial"/>
          <w:iCs/>
        </w:rPr>
        <w:t xml:space="preserve">Source: </w:t>
      </w:r>
      <w:r w:rsidRPr="009B169D">
        <w:rPr>
          <w:rFonts w:ascii="Arial" w:hAnsi="Arial" w:cs="Arial"/>
          <w:i/>
        </w:rPr>
        <w:t xml:space="preserve">The Economist, World Bank (2015), </w:t>
      </w:r>
      <w:hyperlink r:id="rId8" w:history="1">
        <w:r w:rsidRPr="009B169D">
          <w:rPr>
            <w:rStyle w:val="Hyperlink"/>
            <w:rFonts w:ascii="Arial" w:hAnsi="Arial" w:cs="Arial"/>
            <w:i/>
          </w:rPr>
          <w:t>http://stats.mom.gov.sg</w:t>
        </w:r>
      </w:hyperlink>
      <w:r w:rsidRPr="009B169D">
        <w:rPr>
          <w:rFonts w:ascii="Arial" w:hAnsi="Arial" w:cs="Arial"/>
          <w:i/>
        </w:rPr>
        <w:t>, 28 Apr 2016</w:t>
      </w:r>
    </w:p>
    <w:p w14:paraId="09E739A0" w14:textId="77777777" w:rsidR="00236A14" w:rsidRDefault="00236A14" w:rsidP="00236A14">
      <w:pPr>
        <w:spacing w:after="0"/>
        <w:rPr>
          <w:rFonts w:ascii="Arial" w:hAnsi="Arial" w:cs="Arial"/>
          <w:b/>
          <w:bCs/>
        </w:rPr>
      </w:pPr>
    </w:p>
    <w:p w14:paraId="069A64C7" w14:textId="77777777" w:rsidR="00236A14" w:rsidRPr="00007E0C" w:rsidRDefault="00236A14" w:rsidP="00236A14">
      <w:pPr>
        <w:spacing w:after="0"/>
        <w:jc w:val="both"/>
        <w:rPr>
          <w:rFonts w:ascii="Arial" w:hAnsi="Arial" w:cs="Arial"/>
          <w:sz w:val="24"/>
          <w:szCs w:val="24"/>
        </w:rPr>
      </w:pPr>
    </w:p>
    <w:p w14:paraId="6C18DBDD" w14:textId="77777777" w:rsidR="00236A14" w:rsidRPr="00857611" w:rsidRDefault="00236A14" w:rsidP="00236A14">
      <w:pPr>
        <w:spacing w:after="0"/>
        <w:rPr>
          <w:rFonts w:ascii="Arial" w:hAnsi="Arial" w:cs="Arial"/>
          <w:b/>
          <w:bCs/>
          <w:sz w:val="24"/>
          <w:szCs w:val="24"/>
        </w:rPr>
      </w:pPr>
      <w:r w:rsidRPr="00857611">
        <w:rPr>
          <w:rFonts w:ascii="Arial" w:hAnsi="Arial" w:cs="Arial"/>
          <w:b/>
          <w:bCs/>
          <w:sz w:val="24"/>
          <w:szCs w:val="24"/>
        </w:rPr>
        <w:t xml:space="preserve">Questions </w:t>
      </w:r>
    </w:p>
    <w:p w14:paraId="10B7A89F" w14:textId="77777777" w:rsidR="00236A14" w:rsidRPr="00857611" w:rsidRDefault="00236A14" w:rsidP="00236A14">
      <w:pPr>
        <w:spacing w:after="0"/>
        <w:rPr>
          <w:rFonts w:ascii="Arial" w:hAnsi="Arial" w:cs="Arial"/>
          <w:b/>
          <w:bCs/>
          <w:sz w:val="24"/>
          <w:szCs w:val="24"/>
        </w:rPr>
      </w:pPr>
    </w:p>
    <w:p w14:paraId="45762B5D" w14:textId="77777777" w:rsidR="00A028B3" w:rsidRDefault="00A028B3" w:rsidP="00CD433E">
      <w:pPr>
        <w:ind w:right="-108"/>
        <w:jc w:val="both"/>
        <w:rPr>
          <w:rFonts w:ascii="Arial" w:eastAsia="Times New Roman" w:hAnsi="Arial" w:cs="Arial"/>
          <w:sz w:val="24"/>
          <w:szCs w:val="24"/>
          <w:lang w:eastAsia="en-SG"/>
        </w:rPr>
      </w:pPr>
      <w:r w:rsidRPr="00927F6A">
        <w:rPr>
          <w:rFonts w:ascii="Arial" w:eastAsia="Times New Roman" w:hAnsi="Arial" w:cs="Arial"/>
          <w:b/>
          <w:bCs/>
          <w:sz w:val="24"/>
          <w:szCs w:val="24"/>
          <w:lang w:eastAsia="en-SG"/>
        </w:rPr>
        <w:t xml:space="preserve">(a) </w:t>
      </w:r>
      <w:r w:rsidRPr="00927F6A">
        <w:rPr>
          <w:rFonts w:ascii="Arial" w:eastAsia="Times New Roman" w:hAnsi="Arial" w:cs="Arial"/>
          <w:b/>
          <w:bCs/>
          <w:sz w:val="24"/>
          <w:szCs w:val="24"/>
          <w:lang w:eastAsia="en-SG"/>
        </w:rPr>
        <w:tab/>
        <w:t>(</w:t>
      </w:r>
      <w:proofErr w:type="spellStart"/>
      <w:r w:rsidRPr="00927F6A">
        <w:rPr>
          <w:rFonts w:ascii="Arial" w:eastAsia="Times New Roman" w:hAnsi="Arial" w:cs="Arial"/>
          <w:b/>
          <w:bCs/>
          <w:sz w:val="24"/>
          <w:szCs w:val="24"/>
          <w:lang w:eastAsia="en-SG"/>
        </w:rPr>
        <w:t>i</w:t>
      </w:r>
      <w:proofErr w:type="spellEnd"/>
      <w:r w:rsidRPr="00927F6A">
        <w:rPr>
          <w:rFonts w:ascii="Arial" w:eastAsia="Times New Roman" w:hAnsi="Arial" w:cs="Arial"/>
          <w:b/>
          <w:bCs/>
          <w:sz w:val="24"/>
          <w:szCs w:val="24"/>
          <w:lang w:eastAsia="en-SG"/>
        </w:rPr>
        <w:t>)</w:t>
      </w:r>
      <w:r w:rsidRPr="00927F6A">
        <w:rPr>
          <w:rFonts w:ascii="Arial" w:eastAsia="Times New Roman" w:hAnsi="Arial" w:cs="Arial"/>
          <w:b/>
          <w:bCs/>
          <w:sz w:val="24"/>
          <w:szCs w:val="24"/>
          <w:lang w:eastAsia="en-SG"/>
        </w:rPr>
        <w:tab/>
      </w:r>
      <w:r w:rsidRPr="00857611">
        <w:rPr>
          <w:rFonts w:ascii="Arial" w:hAnsi="Arial" w:cs="Arial"/>
          <w:sz w:val="24"/>
          <w:szCs w:val="24"/>
        </w:rPr>
        <w:t xml:space="preserve">Compare the change in China’s current account balance with that of the US for the period 2011 to </w:t>
      </w:r>
      <w:r>
        <w:rPr>
          <w:rFonts w:ascii="Arial" w:hAnsi="Arial" w:cs="Arial"/>
          <w:sz w:val="24"/>
          <w:szCs w:val="24"/>
        </w:rPr>
        <w:t xml:space="preserve">2015.                                                                         </w:t>
      </w:r>
      <w:r w:rsidRPr="00857611">
        <w:rPr>
          <w:rFonts w:ascii="Arial" w:eastAsia="Times New Roman" w:hAnsi="Arial" w:cs="Arial"/>
          <w:sz w:val="24"/>
          <w:szCs w:val="24"/>
          <w:lang w:eastAsia="en-SG"/>
        </w:rPr>
        <w:t>[2]</w:t>
      </w:r>
    </w:p>
    <w:p w14:paraId="616A6746" w14:textId="77777777" w:rsidR="00A028B3" w:rsidRPr="00150432" w:rsidRDefault="00A028B3" w:rsidP="00CD433E">
      <w:pPr>
        <w:tabs>
          <w:tab w:val="left" w:pos="626"/>
          <w:tab w:val="left" w:pos="1136"/>
        </w:tabs>
        <w:ind w:left="103" w:right="-103"/>
        <w:rPr>
          <w:rFonts w:ascii="Arial" w:hAnsi="Arial" w:cs="Arial"/>
          <w:sz w:val="24"/>
          <w:szCs w:val="24"/>
        </w:rPr>
      </w:pPr>
    </w:p>
    <w:p w14:paraId="500B6077" w14:textId="0FFBD25B" w:rsidR="00A028B3" w:rsidRPr="00857611" w:rsidRDefault="00A028B3" w:rsidP="00A028B3">
      <w:pPr>
        <w:tabs>
          <w:tab w:val="left" w:pos="626"/>
          <w:tab w:val="left" w:pos="1136"/>
        </w:tabs>
        <w:ind w:left="103"/>
        <w:rPr>
          <w:rFonts w:ascii="Arial" w:eastAsia="Times New Roman" w:hAnsi="Arial" w:cs="Arial"/>
          <w:sz w:val="24"/>
          <w:szCs w:val="24"/>
          <w:lang w:eastAsia="en-SG"/>
        </w:rPr>
      </w:pPr>
      <w:r w:rsidRPr="00927F6A">
        <w:rPr>
          <w:rFonts w:ascii="Arial" w:eastAsia="Times New Roman" w:hAnsi="Arial" w:cs="Arial"/>
          <w:b/>
          <w:bCs/>
          <w:sz w:val="24"/>
          <w:szCs w:val="24"/>
          <w:lang w:eastAsia="en-SG"/>
        </w:rPr>
        <w:tab/>
        <w:t>(ii)</w:t>
      </w:r>
      <w:r w:rsidRPr="00927F6A">
        <w:rPr>
          <w:rFonts w:ascii="Arial" w:eastAsia="Times New Roman" w:hAnsi="Arial" w:cs="Arial"/>
          <w:b/>
          <w:bCs/>
          <w:sz w:val="24"/>
          <w:szCs w:val="24"/>
          <w:lang w:eastAsia="en-SG"/>
        </w:rPr>
        <w:tab/>
      </w:r>
      <w:r w:rsidRPr="00857611">
        <w:rPr>
          <w:rFonts w:ascii="Arial" w:hAnsi="Arial" w:cs="Arial"/>
          <w:sz w:val="24"/>
          <w:szCs w:val="24"/>
        </w:rPr>
        <w:t xml:space="preserve">Explain </w:t>
      </w:r>
      <w:r>
        <w:rPr>
          <w:rFonts w:ascii="Arial" w:hAnsi="Arial" w:cs="Arial"/>
          <w:sz w:val="24"/>
          <w:szCs w:val="24"/>
        </w:rPr>
        <w:t>whether the US</w:t>
      </w:r>
      <w:r w:rsidRPr="00857611">
        <w:rPr>
          <w:rFonts w:ascii="Arial" w:hAnsi="Arial" w:cs="Arial"/>
          <w:sz w:val="24"/>
          <w:szCs w:val="24"/>
        </w:rPr>
        <w:t xml:space="preserve"> </w:t>
      </w:r>
      <w:r>
        <w:rPr>
          <w:rFonts w:ascii="Arial" w:hAnsi="Arial" w:cs="Arial"/>
          <w:sz w:val="24"/>
          <w:szCs w:val="24"/>
        </w:rPr>
        <w:t xml:space="preserve">should be </w:t>
      </w:r>
      <w:r w:rsidRPr="00857611">
        <w:rPr>
          <w:rFonts w:ascii="Arial" w:hAnsi="Arial" w:cs="Arial"/>
          <w:sz w:val="24"/>
          <w:szCs w:val="24"/>
        </w:rPr>
        <w:t>concerned about the changes</w:t>
      </w:r>
      <w:r>
        <w:rPr>
          <w:rFonts w:ascii="Arial" w:hAnsi="Arial" w:cs="Arial"/>
          <w:sz w:val="24"/>
          <w:szCs w:val="24"/>
        </w:rPr>
        <w:t xml:space="preserve"> to her current account balance.                                                                             </w:t>
      </w:r>
      <w:r w:rsidRPr="00857611">
        <w:rPr>
          <w:rFonts w:ascii="Arial" w:eastAsia="Times New Roman" w:hAnsi="Arial" w:cs="Arial"/>
          <w:sz w:val="24"/>
          <w:szCs w:val="24"/>
          <w:lang w:eastAsia="en-SG"/>
        </w:rPr>
        <w:t>[2]</w:t>
      </w:r>
      <w:r w:rsidRPr="00927F6A">
        <w:rPr>
          <w:rFonts w:ascii="Arial" w:eastAsia="Times New Roman" w:hAnsi="Arial" w:cs="Arial"/>
          <w:b/>
          <w:bCs/>
          <w:sz w:val="24"/>
          <w:szCs w:val="24"/>
          <w:lang w:eastAsia="en-SG"/>
        </w:rPr>
        <w:tab/>
      </w:r>
      <w:r w:rsidRPr="00927F6A">
        <w:rPr>
          <w:rFonts w:ascii="Arial" w:eastAsia="Times New Roman" w:hAnsi="Arial" w:cs="Arial"/>
          <w:b/>
          <w:bCs/>
          <w:sz w:val="24"/>
          <w:szCs w:val="24"/>
          <w:lang w:eastAsia="en-SG"/>
        </w:rPr>
        <w:tab/>
      </w:r>
      <w:r w:rsidRPr="00857611">
        <w:rPr>
          <w:rFonts w:ascii="Arial" w:hAnsi="Arial" w:cs="Arial"/>
          <w:sz w:val="24"/>
          <w:szCs w:val="24"/>
        </w:rPr>
        <w:tab/>
      </w:r>
    </w:p>
    <w:p w14:paraId="64FCF4AE" w14:textId="7E9E0A3D" w:rsidR="00A028B3" w:rsidRPr="00857611" w:rsidRDefault="00A028B3" w:rsidP="00A028B3">
      <w:pPr>
        <w:tabs>
          <w:tab w:val="left" w:pos="626"/>
        </w:tabs>
        <w:ind w:left="103"/>
        <w:rPr>
          <w:rFonts w:ascii="Arial" w:eastAsia="Times New Roman" w:hAnsi="Arial" w:cs="Arial"/>
          <w:sz w:val="24"/>
          <w:szCs w:val="24"/>
          <w:lang w:eastAsia="en-SG"/>
        </w:rPr>
      </w:pPr>
      <w:r w:rsidRPr="00927F6A">
        <w:rPr>
          <w:rFonts w:ascii="Arial" w:eastAsia="Times New Roman" w:hAnsi="Arial" w:cs="Arial"/>
          <w:b/>
          <w:bCs/>
          <w:sz w:val="24"/>
          <w:szCs w:val="24"/>
          <w:lang w:eastAsia="en-SG"/>
        </w:rPr>
        <w:t>(b)</w:t>
      </w:r>
      <w:r w:rsidRPr="00927F6A">
        <w:rPr>
          <w:rFonts w:ascii="Arial" w:eastAsia="Times New Roman" w:hAnsi="Arial" w:cs="Arial"/>
          <w:b/>
          <w:bCs/>
          <w:sz w:val="24"/>
          <w:szCs w:val="24"/>
          <w:lang w:eastAsia="en-SG"/>
        </w:rPr>
        <w:tab/>
      </w:r>
      <w:r w:rsidRPr="00857611">
        <w:rPr>
          <w:rFonts w:ascii="Arial" w:hAnsi="Arial" w:cs="Arial"/>
          <w:sz w:val="24"/>
          <w:szCs w:val="24"/>
        </w:rPr>
        <w:t>Explain whether</w:t>
      </w:r>
      <w:r>
        <w:rPr>
          <w:rFonts w:ascii="Arial" w:hAnsi="Arial" w:cs="Arial"/>
          <w:sz w:val="24"/>
          <w:szCs w:val="24"/>
        </w:rPr>
        <w:t xml:space="preserve"> the US central bank’s action of</w:t>
      </w:r>
      <w:r w:rsidRPr="00857611">
        <w:rPr>
          <w:rFonts w:ascii="Arial" w:hAnsi="Arial" w:cs="Arial"/>
          <w:sz w:val="24"/>
          <w:szCs w:val="24"/>
        </w:rPr>
        <w:t xml:space="preserve"> raising the interest rate is justified.       </w:t>
      </w:r>
      <w:r>
        <w:rPr>
          <w:rFonts w:ascii="Arial" w:hAnsi="Arial" w:cs="Arial"/>
          <w:sz w:val="24"/>
          <w:szCs w:val="24"/>
        </w:rPr>
        <w:t xml:space="preserve">                                                                                                        [</w:t>
      </w:r>
      <w:r w:rsidRPr="00857611">
        <w:rPr>
          <w:rFonts w:ascii="Arial" w:eastAsia="Times New Roman" w:hAnsi="Arial" w:cs="Arial"/>
          <w:sz w:val="24"/>
          <w:szCs w:val="24"/>
          <w:lang w:eastAsia="en-SG"/>
        </w:rPr>
        <w:t>4]</w:t>
      </w:r>
      <w:r w:rsidRPr="00927F6A">
        <w:rPr>
          <w:rFonts w:ascii="Arial" w:eastAsia="Times New Roman" w:hAnsi="Arial" w:cs="Arial"/>
          <w:b/>
          <w:bCs/>
          <w:sz w:val="24"/>
          <w:szCs w:val="24"/>
          <w:lang w:eastAsia="en-SG"/>
        </w:rPr>
        <w:tab/>
      </w:r>
      <w:r w:rsidRPr="00927F6A">
        <w:rPr>
          <w:rFonts w:ascii="Arial" w:hAnsi="Arial" w:cs="Arial"/>
          <w:b/>
          <w:bCs/>
          <w:sz w:val="24"/>
          <w:szCs w:val="24"/>
        </w:rPr>
        <w:tab/>
      </w:r>
      <w:r w:rsidRPr="00857611">
        <w:rPr>
          <w:rFonts w:ascii="Arial" w:hAnsi="Arial" w:cs="Arial"/>
          <w:sz w:val="24"/>
          <w:szCs w:val="24"/>
        </w:rPr>
        <w:tab/>
      </w:r>
    </w:p>
    <w:p w14:paraId="57439CD0" w14:textId="03CD9BB3" w:rsidR="00A028B3" w:rsidRPr="00857611" w:rsidRDefault="00A028B3" w:rsidP="00CD433E">
      <w:pPr>
        <w:pStyle w:val="NormalWeb"/>
        <w:shd w:val="clear" w:color="auto" w:fill="FFFFFF"/>
        <w:tabs>
          <w:tab w:val="left" w:pos="626"/>
        </w:tabs>
        <w:spacing w:before="0" w:beforeAutospacing="0" w:after="0" w:afterAutospacing="0"/>
        <w:ind w:left="103"/>
        <w:rPr>
          <w:rFonts w:ascii="Arial" w:hAnsi="Arial" w:cs="Arial"/>
          <w:lang w:eastAsia="en-SG"/>
        </w:rPr>
      </w:pPr>
      <w:r w:rsidRPr="00927F6A">
        <w:rPr>
          <w:rFonts w:ascii="Arial" w:hAnsi="Arial" w:cs="Arial"/>
          <w:b/>
          <w:bCs/>
          <w:lang w:eastAsia="en-SG"/>
        </w:rPr>
        <w:t xml:space="preserve">(c) </w:t>
      </w:r>
      <w:r w:rsidRPr="00927F6A">
        <w:rPr>
          <w:rFonts w:ascii="Arial" w:hAnsi="Arial" w:cs="Arial"/>
          <w:b/>
          <w:bCs/>
          <w:lang w:eastAsia="en-SG"/>
        </w:rPr>
        <w:tab/>
      </w:r>
      <w:r w:rsidRPr="00857611">
        <w:rPr>
          <w:rFonts w:ascii="Arial" w:hAnsi="Arial" w:cs="Arial"/>
        </w:rPr>
        <w:t>Explain how the slowdown in China’s economic growth will affect its</w:t>
      </w:r>
      <w:r>
        <w:rPr>
          <w:rFonts w:ascii="Arial" w:hAnsi="Arial" w:cs="Arial"/>
        </w:rPr>
        <w:t xml:space="preserve"> government budget balance.                                                                                                </w:t>
      </w:r>
      <w:r w:rsidRPr="00857611">
        <w:rPr>
          <w:rFonts w:ascii="Arial" w:hAnsi="Arial" w:cs="Arial"/>
          <w:lang w:eastAsia="en-SG"/>
        </w:rPr>
        <w:t>[4]</w:t>
      </w:r>
      <w:r>
        <w:rPr>
          <w:rFonts w:ascii="Arial" w:hAnsi="Arial" w:cs="Arial"/>
          <w:lang w:eastAsia="en-SG"/>
        </w:rPr>
        <w:t xml:space="preserve"> </w:t>
      </w:r>
    </w:p>
    <w:p w14:paraId="44DB74EA" w14:textId="77777777" w:rsidR="00A028B3" w:rsidRDefault="00A028B3" w:rsidP="00CD433E">
      <w:pPr>
        <w:pStyle w:val="NormalWeb"/>
        <w:shd w:val="clear" w:color="auto" w:fill="FFFFFF"/>
        <w:tabs>
          <w:tab w:val="left" w:pos="626"/>
        </w:tabs>
        <w:spacing w:before="0" w:beforeAutospacing="0" w:after="0" w:afterAutospacing="0"/>
        <w:ind w:left="103"/>
        <w:rPr>
          <w:rFonts w:ascii="Arial" w:hAnsi="Arial" w:cs="Arial"/>
          <w:b/>
          <w:bCs/>
          <w:lang w:eastAsia="en-SG"/>
        </w:rPr>
      </w:pPr>
    </w:p>
    <w:p w14:paraId="57E3BD17" w14:textId="01DAE04C" w:rsidR="00A028B3" w:rsidRPr="00857611" w:rsidRDefault="00A028B3" w:rsidP="00CD433E">
      <w:pPr>
        <w:pStyle w:val="NormalWeb"/>
        <w:shd w:val="clear" w:color="auto" w:fill="FFFFFF"/>
        <w:tabs>
          <w:tab w:val="left" w:pos="626"/>
        </w:tabs>
        <w:spacing w:before="0" w:beforeAutospacing="0" w:after="0" w:afterAutospacing="0"/>
        <w:ind w:left="103"/>
        <w:rPr>
          <w:rFonts w:ascii="Arial" w:hAnsi="Arial" w:cs="Arial"/>
          <w:lang w:eastAsia="en-SG"/>
        </w:rPr>
      </w:pPr>
      <w:r w:rsidRPr="00927F6A">
        <w:rPr>
          <w:rFonts w:ascii="Arial" w:hAnsi="Arial" w:cs="Arial"/>
          <w:b/>
          <w:bCs/>
          <w:lang w:eastAsia="en-SG"/>
        </w:rPr>
        <w:t>(d)</w:t>
      </w:r>
      <w:r w:rsidRPr="00927F6A">
        <w:rPr>
          <w:rFonts w:ascii="Arial" w:hAnsi="Arial" w:cs="Arial"/>
          <w:b/>
          <w:bCs/>
          <w:lang w:eastAsia="en-SG"/>
        </w:rPr>
        <w:tab/>
      </w:r>
      <w:r w:rsidRPr="00857611">
        <w:rPr>
          <w:rFonts w:ascii="Arial" w:hAnsi="Arial" w:cs="Arial"/>
        </w:rPr>
        <w:t>With reference to the data, discuss the likely impact of China’s monetary policy</w:t>
      </w:r>
      <w:r>
        <w:rPr>
          <w:rFonts w:ascii="Arial" w:hAnsi="Arial" w:cs="Arial"/>
        </w:rPr>
        <w:t xml:space="preserve"> (Extract 6)</w:t>
      </w:r>
      <w:r w:rsidRPr="00857611">
        <w:rPr>
          <w:rFonts w:ascii="Arial" w:hAnsi="Arial" w:cs="Arial"/>
        </w:rPr>
        <w:t xml:space="preserve"> on the Singapore economy.</w:t>
      </w:r>
      <w:r>
        <w:rPr>
          <w:rFonts w:ascii="Arial" w:hAnsi="Arial" w:cs="Arial"/>
        </w:rPr>
        <w:t xml:space="preserve">                                                                               </w:t>
      </w:r>
      <w:r w:rsidRPr="00857611">
        <w:rPr>
          <w:rFonts w:ascii="Arial" w:hAnsi="Arial" w:cs="Arial"/>
          <w:lang w:eastAsia="en-SG"/>
        </w:rPr>
        <w:t>[8]</w:t>
      </w:r>
    </w:p>
    <w:p w14:paraId="56D9F9EA" w14:textId="77777777" w:rsidR="00A028B3" w:rsidRPr="00857611" w:rsidRDefault="00A028B3" w:rsidP="00CD433E">
      <w:pPr>
        <w:tabs>
          <w:tab w:val="left" w:pos="626"/>
          <w:tab w:val="left" w:pos="1136"/>
          <w:tab w:val="left" w:pos="8839"/>
        </w:tabs>
        <w:ind w:left="103"/>
        <w:rPr>
          <w:rFonts w:ascii="Arial" w:eastAsia="Times New Roman" w:hAnsi="Arial" w:cs="Arial"/>
          <w:sz w:val="24"/>
          <w:szCs w:val="24"/>
          <w:lang w:eastAsia="en-SG"/>
        </w:rPr>
      </w:pPr>
      <w:r w:rsidRPr="00857611">
        <w:rPr>
          <w:rFonts w:ascii="Arial" w:eastAsia="Times New Roman" w:hAnsi="Arial" w:cs="Arial"/>
          <w:sz w:val="24"/>
          <w:szCs w:val="24"/>
          <w:lang w:eastAsia="en-SG"/>
        </w:rPr>
        <w:tab/>
      </w:r>
      <w:r w:rsidRPr="00857611">
        <w:rPr>
          <w:rFonts w:ascii="Arial" w:eastAsia="Times New Roman" w:hAnsi="Arial" w:cs="Arial"/>
          <w:sz w:val="24"/>
          <w:szCs w:val="24"/>
        </w:rPr>
        <w:tab/>
      </w:r>
      <w:r w:rsidRPr="00857611">
        <w:rPr>
          <w:rFonts w:ascii="Arial" w:eastAsia="Times New Roman" w:hAnsi="Arial" w:cs="Arial"/>
          <w:sz w:val="24"/>
          <w:szCs w:val="24"/>
        </w:rPr>
        <w:tab/>
      </w:r>
    </w:p>
    <w:p w14:paraId="035568B1" w14:textId="77777777" w:rsidR="00A028B3" w:rsidRPr="00857611" w:rsidRDefault="00A028B3" w:rsidP="00CD433E">
      <w:pPr>
        <w:pStyle w:val="NormalWeb"/>
        <w:shd w:val="clear" w:color="auto" w:fill="FFFFFF"/>
        <w:tabs>
          <w:tab w:val="left" w:pos="626"/>
        </w:tabs>
        <w:spacing w:before="0" w:beforeAutospacing="0" w:after="0" w:afterAutospacing="0"/>
        <w:ind w:left="103"/>
        <w:rPr>
          <w:rFonts w:ascii="Arial" w:hAnsi="Arial" w:cs="Arial"/>
          <w:lang w:eastAsia="en-SG"/>
        </w:rPr>
      </w:pPr>
      <w:r w:rsidRPr="00816897">
        <w:rPr>
          <w:rFonts w:ascii="Arial" w:hAnsi="Arial" w:cs="Arial"/>
          <w:b/>
          <w:bCs/>
          <w:lang w:eastAsia="en-SG"/>
        </w:rPr>
        <w:t>(e)</w:t>
      </w:r>
      <w:r w:rsidRPr="00816897">
        <w:rPr>
          <w:rFonts w:ascii="Arial" w:hAnsi="Arial" w:cs="Arial"/>
          <w:b/>
          <w:bCs/>
          <w:lang w:eastAsia="en-SG"/>
        </w:rPr>
        <w:tab/>
      </w:r>
      <w:r w:rsidRPr="00857611">
        <w:rPr>
          <w:rFonts w:ascii="Arial" w:hAnsi="Arial" w:cs="Arial"/>
        </w:rPr>
        <w:t>Assess the effectiveness of China’s supply-side reforms in facilitating a smooth transitio</w:t>
      </w:r>
      <w:r>
        <w:rPr>
          <w:rFonts w:ascii="Arial" w:hAnsi="Arial" w:cs="Arial"/>
        </w:rPr>
        <w:t>n to a knowledge-based economy.                                                       [</w:t>
      </w:r>
      <w:r w:rsidRPr="00857611">
        <w:rPr>
          <w:rFonts w:ascii="Arial" w:hAnsi="Arial" w:cs="Arial"/>
          <w:lang w:eastAsia="en-SG"/>
        </w:rPr>
        <w:t>10]</w:t>
      </w:r>
    </w:p>
    <w:p w14:paraId="0851C6DA" w14:textId="77777777" w:rsidR="00236A14" w:rsidRPr="00857611" w:rsidRDefault="00236A14" w:rsidP="00236A14">
      <w:pPr>
        <w:spacing w:after="0"/>
        <w:jc w:val="both"/>
        <w:rPr>
          <w:rFonts w:ascii="Arial" w:hAnsi="Arial" w:cs="Arial"/>
          <w:sz w:val="24"/>
          <w:szCs w:val="24"/>
        </w:rPr>
      </w:pPr>
    </w:p>
    <w:p w14:paraId="44465118" w14:textId="77777777" w:rsidR="00236A14" w:rsidRDefault="00236A14" w:rsidP="00236A14">
      <w:pPr>
        <w:ind w:left="7920"/>
        <w:jc w:val="both"/>
        <w:rPr>
          <w:rFonts w:ascii="Arial" w:hAnsi="Arial" w:cs="Arial"/>
          <w:bCs/>
          <w:sz w:val="24"/>
          <w:szCs w:val="24"/>
        </w:rPr>
      </w:pPr>
      <w:r>
        <w:rPr>
          <w:rFonts w:ascii="Arial" w:hAnsi="Arial" w:cs="Arial"/>
          <w:bCs/>
          <w:sz w:val="24"/>
          <w:szCs w:val="24"/>
        </w:rPr>
        <w:t xml:space="preserve">  </w:t>
      </w:r>
    </w:p>
    <w:p w14:paraId="58A1CC86" w14:textId="77777777" w:rsidR="00B04962" w:rsidRDefault="00236A14" w:rsidP="00236A14">
      <w:pPr>
        <w:ind w:left="7920"/>
        <w:jc w:val="both"/>
        <w:rPr>
          <w:rFonts w:ascii="Arial" w:hAnsi="Arial" w:cs="Arial"/>
          <w:bCs/>
          <w:sz w:val="24"/>
          <w:szCs w:val="24"/>
        </w:rPr>
      </w:pPr>
      <w:r>
        <w:rPr>
          <w:rFonts w:ascii="Arial" w:hAnsi="Arial" w:cs="Arial"/>
          <w:bCs/>
          <w:sz w:val="24"/>
          <w:szCs w:val="24"/>
        </w:rPr>
        <w:t xml:space="preserve"> [Total: 30]</w:t>
      </w:r>
    </w:p>
    <w:p w14:paraId="52302378" w14:textId="45B89C4F" w:rsidR="00B04962" w:rsidRDefault="00B04962">
      <w:pPr>
        <w:rPr>
          <w:rFonts w:ascii="Arial" w:hAnsi="Arial" w:cs="Arial"/>
          <w:bCs/>
          <w:sz w:val="24"/>
          <w:szCs w:val="24"/>
        </w:rPr>
      </w:pPr>
    </w:p>
    <w:sectPr w:rsidR="00B049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76E4" w14:textId="77777777" w:rsidR="00B95FB2" w:rsidRDefault="00B95FB2" w:rsidP="00236A14">
      <w:pPr>
        <w:spacing w:after="0" w:line="240" w:lineRule="auto"/>
      </w:pPr>
      <w:r>
        <w:separator/>
      </w:r>
    </w:p>
  </w:endnote>
  <w:endnote w:type="continuationSeparator" w:id="0">
    <w:p w14:paraId="26D6283F" w14:textId="77777777" w:rsidR="00B95FB2" w:rsidRDefault="00B95FB2" w:rsidP="0023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5FA8" w14:textId="77777777" w:rsidR="00B95FB2" w:rsidRDefault="00B95FB2" w:rsidP="00236A14">
      <w:pPr>
        <w:spacing w:after="0" w:line="240" w:lineRule="auto"/>
      </w:pPr>
      <w:r>
        <w:separator/>
      </w:r>
    </w:p>
  </w:footnote>
  <w:footnote w:type="continuationSeparator" w:id="0">
    <w:p w14:paraId="1CCF60DF" w14:textId="77777777" w:rsidR="00B95FB2" w:rsidRDefault="00B95FB2" w:rsidP="00236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97164"/>
    <w:multiLevelType w:val="multilevel"/>
    <w:tmpl w:val="D0C4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E8"/>
    <w:rsid w:val="00000E4C"/>
    <w:rsid w:val="00067106"/>
    <w:rsid w:val="000D776C"/>
    <w:rsid w:val="001142A6"/>
    <w:rsid w:val="00131B44"/>
    <w:rsid w:val="002306B6"/>
    <w:rsid w:val="0023248E"/>
    <w:rsid w:val="00236A14"/>
    <w:rsid w:val="002D72E4"/>
    <w:rsid w:val="00343905"/>
    <w:rsid w:val="003B2B25"/>
    <w:rsid w:val="005548FD"/>
    <w:rsid w:val="0071155C"/>
    <w:rsid w:val="0075753F"/>
    <w:rsid w:val="008D0B63"/>
    <w:rsid w:val="00922089"/>
    <w:rsid w:val="009A050C"/>
    <w:rsid w:val="009B467F"/>
    <w:rsid w:val="00A028B3"/>
    <w:rsid w:val="00B04962"/>
    <w:rsid w:val="00B95FB2"/>
    <w:rsid w:val="00C03DDA"/>
    <w:rsid w:val="00C421E8"/>
    <w:rsid w:val="00CB4A46"/>
    <w:rsid w:val="00D95CF6"/>
    <w:rsid w:val="00DF1DFC"/>
    <w:rsid w:val="00EB13CB"/>
    <w:rsid w:val="00EB686D"/>
    <w:rsid w:val="00F30264"/>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2309"/>
  <w15:chartTrackingRefBased/>
  <w15:docId w15:val="{CA7311D4-5F7F-4003-97DB-EEDB00EF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4962"/>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3248E"/>
  </w:style>
  <w:style w:type="character" w:customStyle="1" w:styleId="DateChar">
    <w:name w:val="Date Char"/>
    <w:basedOn w:val="DefaultParagraphFont"/>
    <w:link w:val="Date"/>
    <w:uiPriority w:val="99"/>
    <w:semiHidden/>
    <w:rsid w:val="0023248E"/>
  </w:style>
  <w:style w:type="paragraph" w:styleId="BalloonText">
    <w:name w:val="Balloon Text"/>
    <w:basedOn w:val="Normal"/>
    <w:link w:val="BalloonTextChar"/>
    <w:uiPriority w:val="99"/>
    <w:semiHidden/>
    <w:unhideWhenUsed/>
    <w:rsid w:val="003B2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25"/>
    <w:rPr>
      <w:rFonts w:ascii="Segoe UI" w:hAnsi="Segoe UI" w:cs="Segoe UI"/>
      <w:sz w:val="18"/>
      <w:szCs w:val="18"/>
    </w:rPr>
  </w:style>
  <w:style w:type="paragraph" w:styleId="NormalWeb">
    <w:name w:val="Normal (Web)"/>
    <w:basedOn w:val="Normal"/>
    <w:uiPriority w:val="99"/>
    <w:unhideWhenUsed/>
    <w:rsid w:val="00236A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6A14"/>
    <w:rPr>
      <w:color w:val="0000FF"/>
      <w:u w:val="single"/>
    </w:rPr>
  </w:style>
  <w:style w:type="character" w:customStyle="1" w:styleId="apple-converted-space">
    <w:name w:val="apple-converted-space"/>
    <w:basedOn w:val="DefaultParagraphFont"/>
    <w:rsid w:val="00236A14"/>
  </w:style>
  <w:style w:type="paragraph" w:styleId="NoSpacing">
    <w:name w:val="No Spacing"/>
    <w:uiPriority w:val="1"/>
    <w:qFormat/>
    <w:rsid w:val="00236A14"/>
    <w:pPr>
      <w:spacing w:after="0" w:line="240" w:lineRule="auto"/>
    </w:pPr>
  </w:style>
  <w:style w:type="table" w:styleId="TableGrid">
    <w:name w:val="Table Grid"/>
    <w:basedOn w:val="TableNormal"/>
    <w:uiPriority w:val="39"/>
    <w:rsid w:val="00236A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36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A14"/>
    <w:rPr>
      <w:sz w:val="20"/>
      <w:szCs w:val="20"/>
    </w:rPr>
  </w:style>
  <w:style w:type="character" w:styleId="FootnoteReference">
    <w:name w:val="footnote reference"/>
    <w:basedOn w:val="DefaultParagraphFont"/>
    <w:uiPriority w:val="99"/>
    <w:semiHidden/>
    <w:unhideWhenUsed/>
    <w:rsid w:val="00236A14"/>
    <w:rPr>
      <w:vertAlign w:val="superscript"/>
    </w:rPr>
  </w:style>
  <w:style w:type="character" w:customStyle="1" w:styleId="Heading1Char">
    <w:name w:val="Heading 1 Char"/>
    <w:basedOn w:val="DefaultParagraphFont"/>
    <w:link w:val="Heading1"/>
    <w:uiPriority w:val="9"/>
    <w:rsid w:val="00B04962"/>
    <w:rPr>
      <w:rFonts w:ascii="Times New Roman" w:eastAsia="Times New Roman" w:hAnsi="Times New Roman" w:cs="Times New Roman"/>
      <w:b/>
      <w:bCs/>
      <w:kern w:val="36"/>
      <w:sz w:val="48"/>
      <w:szCs w:val="48"/>
      <w:lang w:bidi="ta-IN"/>
    </w:rPr>
  </w:style>
  <w:style w:type="paragraph" w:styleId="ListParagraph">
    <w:name w:val="List Paragraph"/>
    <w:basedOn w:val="Normal"/>
    <w:uiPriority w:val="34"/>
    <w:qFormat/>
    <w:rsid w:val="00B04962"/>
    <w:pPr>
      <w:ind w:left="720"/>
      <w:contextualSpacing/>
    </w:pPr>
  </w:style>
  <w:style w:type="character" w:styleId="Strong">
    <w:name w:val="Strong"/>
    <w:basedOn w:val="DefaultParagraphFont"/>
    <w:uiPriority w:val="22"/>
    <w:qFormat/>
    <w:rsid w:val="00B04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s.mom.gov.sg" TargetMode="External"/><Relationship Id="rId3" Type="http://schemas.openxmlformats.org/officeDocument/2006/relationships/settings" Target="settings.xml"/><Relationship Id="rId7" Type="http://schemas.openxmlformats.org/officeDocument/2006/relationships/hyperlink" Target="http://www.worldstopexports.com/singapores-top-import-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 Soo Chin Sarah</dc:creator>
  <cp:keywords/>
  <dc:description/>
  <cp:lastModifiedBy>Goh Shi Qi</cp:lastModifiedBy>
  <cp:revision>7</cp:revision>
  <cp:lastPrinted>2016-08-28T23:41:00Z</cp:lastPrinted>
  <dcterms:created xsi:type="dcterms:W3CDTF">2016-09-22T11:22:00Z</dcterms:created>
  <dcterms:modified xsi:type="dcterms:W3CDTF">2021-10-10T06:32:00Z</dcterms:modified>
</cp:coreProperties>
</file>