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375DD" w14:textId="7BCC8806" w:rsidR="001B3E71" w:rsidRPr="00C32F1F" w:rsidRDefault="001B3E71">
      <w:pPr>
        <w:rPr>
          <w:rFonts w:ascii="Arial" w:eastAsia="Times New Roman" w:hAnsi="Arial" w:cs="Arial"/>
          <w:b/>
          <w:bCs/>
          <w:color w:val="121212"/>
        </w:rPr>
      </w:pPr>
    </w:p>
    <w:p w14:paraId="687F8F8C" w14:textId="038BD97E" w:rsidR="00A74246" w:rsidRPr="00C32F1F" w:rsidRDefault="00C778A2" w:rsidP="008B6796">
      <w:pPr>
        <w:pStyle w:val="NormalWeb"/>
        <w:shd w:val="clear" w:color="auto" w:fill="FFFFFF"/>
        <w:spacing w:before="0" w:beforeAutospacing="0" w:after="0" w:afterAutospacing="0"/>
        <w:jc w:val="both"/>
        <w:rPr>
          <w:rFonts w:ascii="Arial" w:hAnsi="Arial" w:cs="Arial"/>
          <w:b/>
          <w:bCs/>
          <w:color w:val="121212"/>
          <w:sz w:val="22"/>
          <w:szCs w:val="22"/>
        </w:rPr>
      </w:pPr>
      <w:r w:rsidRPr="00C32F1F">
        <w:rPr>
          <w:rFonts w:ascii="Arial" w:hAnsi="Arial" w:cs="Arial"/>
          <w:b/>
          <w:bCs/>
          <w:color w:val="121212"/>
          <w:sz w:val="22"/>
          <w:szCs w:val="22"/>
        </w:rPr>
        <w:t>Question 2</w:t>
      </w:r>
      <w:r w:rsidR="005E3CAE" w:rsidRPr="00C32F1F">
        <w:rPr>
          <w:rFonts w:ascii="Arial" w:hAnsi="Arial" w:cs="Arial"/>
          <w:b/>
          <w:bCs/>
          <w:color w:val="121212"/>
          <w:sz w:val="22"/>
          <w:szCs w:val="22"/>
        </w:rPr>
        <w:t xml:space="preserve">: </w:t>
      </w:r>
      <w:r w:rsidRPr="00C32F1F">
        <w:rPr>
          <w:rFonts w:ascii="Arial" w:hAnsi="Arial" w:cs="Arial"/>
          <w:b/>
          <w:bCs/>
          <w:color w:val="121212"/>
          <w:sz w:val="22"/>
          <w:szCs w:val="22"/>
        </w:rPr>
        <w:t xml:space="preserve">Government budget </w:t>
      </w:r>
      <w:r w:rsidR="003525CD" w:rsidRPr="00C32F1F">
        <w:rPr>
          <w:rFonts w:ascii="Arial" w:hAnsi="Arial" w:cs="Arial"/>
          <w:b/>
          <w:bCs/>
          <w:color w:val="121212"/>
          <w:sz w:val="22"/>
          <w:szCs w:val="22"/>
        </w:rPr>
        <w:t>and living standards</w:t>
      </w:r>
    </w:p>
    <w:p w14:paraId="1CDDAFE2" w14:textId="352C7DCC" w:rsidR="00794FEE" w:rsidRPr="00C32F1F" w:rsidRDefault="00794FEE" w:rsidP="008B6796">
      <w:pPr>
        <w:pStyle w:val="NormalWeb"/>
        <w:shd w:val="clear" w:color="auto" w:fill="FFFFFF"/>
        <w:spacing w:before="0" w:beforeAutospacing="0" w:after="0" w:afterAutospacing="0"/>
        <w:rPr>
          <w:rFonts w:ascii="Arial" w:hAnsi="Arial" w:cs="Arial"/>
          <w:b/>
          <w:bCs/>
          <w:color w:val="121212"/>
          <w:sz w:val="22"/>
          <w:szCs w:val="22"/>
        </w:rPr>
      </w:pPr>
    </w:p>
    <w:p w14:paraId="04E6F57E" w14:textId="0B4D0547" w:rsidR="003525CD" w:rsidRPr="00C32F1F" w:rsidRDefault="003525CD" w:rsidP="008B6796">
      <w:pPr>
        <w:shd w:val="clear" w:color="auto" w:fill="FFFFFF"/>
        <w:spacing w:after="0" w:line="240" w:lineRule="auto"/>
        <w:jc w:val="both"/>
        <w:rPr>
          <w:rFonts w:ascii="Arial" w:hAnsi="Arial" w:cs="Arial"/>
          <w:b/>
          <w:spacing w:val="-6"/>
        </w:rPr>
      </w:pPr>
      <w:r w:rsidRPr="00C32F1F">
        <w:rPr>
          <w:rFonts w:ascii="Arial" w:eastAsia="Times New Roman" w:hAnsi="Arial" w:cs="Arial"/>
          <w:b/>
          <w:bCs/>
          <w:color w:val="121212"/>
        </w:rPr>
        <w:t>Extract</w:t>
      </w:r>
      <w:r w:rsidR="006A5DC9" w:rsidRPr="00C32F1F">
        <w:rPr>
          <w:rFonts w:ascii="Arial" w:eastAsia="Times New Roman" w:hAnsi="Arial" w:cs="Arial"/>
          <w:b/>
          <w:bCs/>
          <w:color w:val="121212"/>
        </w:rPr>
        <w:t xml:space="preserve"> 6</w:t>
      </w:r>
      <w:r w:rsidRPr="00C32F1F">
        <w:rPr>
          <w:rFonts w:ascii="Arial" w:eastAsia="Times New Roman" w:hAnsi="Arial" w:cs="Arial"/>
          <w:b/>
          <w:bCs/>
          <w:color w:val="121212"/>
        </w:rPr>
        <w:t xml:space="preserve">: </w:t>
      </w:r>
      <w:r w:rsidR="006C4EA4" w:rsidRPr="00C32F1F">
        <w:rPr>
          <w:rFonts w:ascii="Arial" w:eastAsia="Times New Roman" w:hAnsi="Arial" w:cs="Arial"/>
          <w:b/>
          <w:bCs/>
          <w:color w:val="121212"/>
        </w:rPr>
        <w:t>Indonesia enters high h</w:t>
      </w:r>
      <w:r w:rsidR="006C4EA4" w:rsidRPr="00C32F1F">
        <w:rPr>
          <w:rFonts w:ascii="Arial" w:hAnsi="Arial" w:cs="Arial"/>
          <w:b/>
          <w:spacing w:val="-6"/>
        </w:rPr>
        <w:t>uman development category of nations</w:t>
      </w:r>
    </w:p>
    <w:p w14:paraId="2B649A4C" w14:textId="77777777" w:rsidR="003525CD" w:rsidRPr="00C32F1F" w:rsidRDefault="003525CD" w:rsidP="008B6796">
      <w:p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textAlignment w:val="baseline"/>
        <w:rPr>
          <w:rFonts w:ascii="Arial" w:eastAsia="Times New Roman" w:hAnsi="Arial" w:cs="Arial"/>
          <w:lang w:bidi="ar-SA"/>
        </w:rPr>
      </w:pPr>
    </w:p>
    <w:p w14:paraId="306B530C" w14:textId="09F498E0" w:rsidR="006C4EA4" w:rsidRPr="00C32F1F" w:rsidRDefault="000E1079" w:rsidP="008B6796">
      <w:pPr>
        <w:pStyle w:val="NormalWeb"/>
        <w:shd w:val="clear" w:color="auto" w:fill="FFFFFF"/>
        <w:spacing w:before="0" w:beforeAutospacing="0" w:after="0" w:afterAutospacing="0"/>
        <w:jc w:val="both"/>
        <w:rPr>
          <w:rFonts w:ascii="Arial" w:hAnsi="Arial" w:cs="Arial"/>
          <w:color w:val="222222"/>
          <w:sz w:val="22"/>
          <w:szCs w:val="22"/>
          <w:lang w:val="en-US" w:bidi="ar-SA"/>
        </w:rPr>
      </w:pPr>
      <w:r w:rsidRPr="00C32F1F">
        <w:rPr>
          <w:rFonts w:ascii="Arial" w:hAnsi="Arial" w:cs="Arial"/>
          <w:color w:val="222222"/>
          <w:sz w:val="22"/>
          <w:szCs w:val="22"/>
          <w:shd w:val="clear" w:color="auto" w:fill="FFFFFF"/>
        </w:rPr>
        <w:t>Indonesia has joined the group of countries with a high</w:t>
      </w:r>
      <w:r w:rsidR="006C4EA4" w:rsidRPr="00C32F1F">
        <w:rPr>
          <w:rFonts w:ascii="Arial" w:hAnsi="Arial" w:cs="Arial"/>
          <w:color w:val="222222"/>
          <w:sz w:val="22"/>
          <w:szCs w:val="22"/>
          <w:shd w:val="clear" w:color="auto" w:fill="FFFFFF"/>
        </w:rPr>
        <w:t xml:space="preserve"> human development index</w:t>
      </w:r>
      <w:r w:rsidRPr="00C32F1F">
        <w:rPr>
          <w:rFonts w:ascii="Arial" w:hAnsi="Arial" w:cs="Arial"/>
          <w:color w:val="222222"/>
          <w:sz w:val="22"/>
          <w:szCs w:val="22"/>
          <w:shd w:val="clear" w:color="auto" w:fill="FFFFFF"/>
        </w:rPr>
        <w:t xml:space="preserve"> (HDI) </w:t>
      </w:r>
      <w:r w:rsidR="006C4EA4" w:rsidRPr="00C32F1F">
        <w:rPr>
          <w:rFonts w:ascii="Arial" w:hAnsi="Arial" w:cs="Arial"/>
          <w:color w:val="222222"/>
          <w:sz w:val="22"/>
          <w:szCs w:val="22"/>
          <w:shd w:val="clear" w:color="auto" w:fill="FFFFFF"/>
        </w:rPr>
        <w:t>score of</w:t>
      </w:r>
      <w:r w:rsidRPr="00C32F1F">
        <w:rPr>
          <w:rFonts w:ascii="Arial" w:hAnsi="Arial" w:cs="Arial"/>
          <w:color w:val="222222"/>
          <w:sz w:val="22"/>
          <w:szCs w:val="22"/>
          <w:shd w:val="clear" w:color="auto" w:fill="FFFFFF"/>
        </w:rPr>
        <w:t xml:space="preserve"> 0.707, according to a report by the United Nations Development Programme (U</w:t>
      </w:r>
      <w:r w:rsidR="006C4EA4" w:rsidRPr="00C32F1F">
        <w:rPr>
          <w:rFonts w:ascii="Arial" w:hAnsi="Arial" w:cs="Arial"/>
          <w:color w:val="222222"/>
          <w:sz w:val="22"/>
          <w:szCs w:val="22"/>
          <w:shd w:val="clear" w:color="auto" w:fill="FFFFFF"/>
        </w:rPr>
        <w:t xml:space="preserve">NDP). </w:t>
      </w:r>
      <w:r w:rsidR="006C4EA4" w:rsidRPr="00C32F1F">
        <w:rPr>
          <w:rFonts w:ascii="Arial" w:hAnsi="Arial" w:cs="Arial"/>
          <w:color w:val="222222"/>
          <w:sz w:val="22"/>
          <w:szCs w:val="22"/>
          <w:lang w:val="en-US" w:bidi="ar-SA"/>
        </w:rPr>
        <w:t xml:space="preserve">Singapore is Southeast Asia’s top country at ninth in the ranking, joined by Malaysia (62nd) and Thailand (77th) in the very high category. The Philippines outclassed Indonesia and Vietnam to be 106th in the ranking. </w:t>
      </w:r>
    </w:p>
    <w:p w14:paraId="07998492" w14:textId="5E89C0E2" w:rsidR="006C4EA4" w:rsidRPr="00C32F1F" w:rsidRDefault="006C4EA4" w:rsidP="008B6796">
      <w:pPr>
        <w:pStyle w:val="NormalWeb"/>
        <w:shd w:val="clear" w:color="auto" w:fill="FFFFFF"/>
        <w:spacing w:before="0" w:beforeAutospacing="0" w:after="0" w:afterAutospacing="0"/>
        <w:jc w:val="both"/>
        <w:rPr>
          <w:rFonts w:ascii="Arial" w:hAnsi="Arial" w:cs="Arial"/>
          <w:color w:val="222222"/>
          <w:sz w:val="22"/>
          <w:szCs w:val="22"/>
          <w:lang w:val="en-US" w:bidi="ar-SA"/>
        </w:rPr>
      </w:pPr>
    </w:p>
    <w:p w14:paraId="2F4510CA" w14:textId="03EBFB9E" w:rsidR="006C4EA4" w:rsidRPr="00C32F1F" w:rsidRDefault="006C4EA4" w:rsidP="008B679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Source: theinsiderstories.com,</w:t>
      </w:r>
      <w:r w:rsidR="009C7396" w:rsidRPr="00C32F1F">
        <w:rPr>
          <w:rFonts w:ascii="Arial" w:hAnsi="Arial" w:cs="Arial"/>
          <w:i/>
          <w:iCs/>
          <w:sz w:val="22"/>
          <w:szCs w:val="22"/>
        </w:rPr>
        <w:t xml:space="preserve"> 11 December 2019</w:t>
      </w:r>
      <w:r w:rsidRPr="00C32F1F">
        <w:rPr>
          <w:rFonts w:ascii="Arial" w:hAnsi="Arial" w:cs="Arial"/>
          <w:i/>
          <w:iCs/>
          <w:sz w:val="22"/>
          <w:szCs w:val="22"/>
        </w:rPr>
        <w:t xml:space="preserve"> </w:t>
      </w:r>
    </w:p>
    <w:p w14:paraId="3FD55C08" w14:textId="77777777" w:rsidR="006C4EA4" w:rsidRPr="00C32F1F" w:rsidRDefault="006C4EA4" w:rsidP="008B6796">
      <w:pPr>
        <w:pStyle w:val="NormalWeb"/>
        <w:shd w:val="clear" w:color="auto" w:fill="FFFFFF"/>
        <w:spacing w:before="0" w:beforeAutospacing="0" w:after="0" w:afterAutospacing="0"/>
        <w:jc w:val="both"/>
        <w:rPr>
          <w:rFonts w:ascii="Arial" w:hAnsi="Arial" w:cs="Arial"/>
          <w:color w:val="222222"/>
          <w:sz w:val="22"/>
          <w:szCs w:val="22"/>
          <w:lang w:val="en-US" w:bidi="ar-SA"/>
        </w:rPr>
      </w:pPr>
    </w:p>
    <w:p w14:paraId="56531497" w14:textId="495EF28A" w:rsidR="003525CD" w:rsidRPr="00C32F1F" w:rsidRDefault="00124179" w:rsidP="008B6796">
      <w:pPr>
        <w:spacing w:after="0" w:line="240" w:lineRule="auto"/>
        <w:jc w:val="center"/>
        <w:rPr>
          <w:rFonts w:ascii="Arial" w:hAnsi="Arial" w:cs="Arial"/>
          <w:b/>
          <w:bCs/>
          <w:color w:val="121212"/>
        </w:rPr>
      </w:pPr>
      <w:r w:rsidRPr="00C32F1F">
        <w:rPr>
          <w:rFonts w:ascii="Arial" w:hAnsi="Arial" w:cs="Arial"/>
          <w:b/>
          <w:bCs/>
          <w:color w:val="121212"/>
        </w:rPr>
        <w:t>Table</w:t>
      </w:r>
      <w:r w:rsidR="006A5DC9" w:rsidRPr="00C32F1F">
        <w:rPr>
          <w:rFonts w:ascii="Arial" w:hAnsi="Arial" w:cs="Arial"/>
          <w:b/>
          <w:bCs/>
          <w:color w:val="121212"/>
        </w:rPr>
        <w:t xml:space="preserve"> 1</w:t>
      </w:r>
      <w:r w:rsidRPr="00C32F1F">
        <w:rPr>
          <w:rFonts w:ascii="Arial" w:hAnsi="Arial" w:cs="Arial"/>
          <w:b/>
          <w:bCs/>
          <w:color w:val="121212"/>
        </w:rPr>
        <w:t>: Living standards data</w:t>
      </w:r>
      <w:r w:rsidR="003525CD" w:rsidRPr="00C32F1F">
        <w:rPr>
          <w:rFonts w:ascii="Arial" w:hAnsi="Arial" w:cs="Arial"/>
          <w:b/>
          <w:bCs/>
          <w:color w:val="121212"/>
        </w:rPr>
        <w:t xml:space="preserve"> for selected </w:t>
      </w:r>
      <w:r w:rsidR="004645FA" w:rsidRPr="00C32F1F">
        <w:rPr>
          <w:rFonts w:ascii="Arial" w:hAnsi="Arial" w:cs="Arial"/>
          <w:b/>
          <w:bCs/>
          <w:color w:val="121212"/>
        </w:rPr>
        <w:t>ASEAN</w:t>
      </w:r>
      <w:r w:rsidR="00903240" w:rsidRPr="00C32F1F">
        <w:rPr>
          <w:rFonts w:ascii="Arial" w:hAnsi="Arial" w:cs="Arial"/>
          <w:b/>
          <w:bCs/>
          <w:color w:val="121212"/>
          <w:vertAlign w:val="superscript"/>
        </w:rPr>
        <w:t>1</w:t>
      </w:r>
      <w:r w:rsidR="003525CD" w:rsidRPr="00C32F1F">
        <w:rPr>
          <w:rFonts w:ascii="Arial" w:hAnsi="Arial" w:cs="Arial"/>
          <w:b/>
          <w:bCs/>
          <w:color w:val="121212"/>
        </w:rPr>
        <w:t xml:space="preserve"> countries, 2018</w:t>
      </w:r>
    </w:p>
    <w:p w14:paraId="630CA6CA" w14:textId="77777777" w:rsidR="008B6796" w:rsidRPr="00C32F1F" w:rsidRDefault="008B6796" w:rsidP="008B6796">
      <w:pPr>
        <w:spacing w:after="0" w:line="240" w:lineRule="auto"/>
        <w:jc w:val="center"/>
        <w:rPr>
          <w:rFonts w:ascii="Arial" w:hAnsi="Arial" w:cs="Arial"/>
          <w:b/>
          <w:bCs/>
          <w:color w:val="121212"/>
        </w:rPr>
      </w:pPr>
    </w:p>
    <w:tbl>
      <w:tblPr>
        <w:tblStyle w:val="TableGrid"/>
        <w:tblW w:w="0" w:type="auto"/>
        <w:jc w:val="center"/>
        <w:tblLook w:val="04A0" w:firstRow="1" w:lastRow="0" w:firstColumn="1" w:lastColumn="0" w:noHBand="0" w:noVBand="1"/>
      </w:tblPr>
      <w:tblGrid>
        <w:gridCol w:w="1803"/>
        <w:gridCol w:w="1252"/>
        <w:gridCol w:w="2610"/>
        <w:gridCol w:w="1890"/>
      </w:tblGrid>
      <w:tr w:rsidR="003525CD" w:rsidRPr="00C32F1F" w14:paraId="050847C2" w14:textId="77777777" w:rsidTr="003817C3">
        <w:trPr>
          <w:trHeight w:val="432"/>
          <w:jc w:val="center"/>
        </w:trPr>
        <w:tc>
          <w:tcPr>
            <w:tcW w:w="1803" w:type="dxa"/>
            <w:vAlign w:val="center"/>
          </w:tcPr>
          <w:p w14:paraId="4C49D326" w14:textId="77777777" w:rsidR="003525CD" w:rsidRPr="00C32F1F" w:rsidRDefault="003525CD" w:rsidP="008B6796">
            <w:pPr>
              <w:rPr>
                <w:rFonts w:ascii="Arial" w:hAnsi="Arial" w:cs="Arial"/>
                <w:bCs/>
                <w:color w:val="121212"/>
              </w:rPr>
            </w:pPr>
            <w:r w:rsidRPr="00C32F1F">
              <w:rPr>
                <w:rFonts w:ascii="Arial" w:hAnsi="Arial" w:cs="Arial"/>
                <w:bCs/>
                <w:color w:val="121212"/>
              </w:rPr>
              <w:t>Country</w:t>
            </w:r>
          </w:p>
        </w:tc>
        <w:tc>
          <w:tcPr>
            <w:tcW w:w="1252" w:type="dxa"/>
            <w:vAlign w:val="center"/>
          </w:tcPr>
          <w:p w14:paraId="47364108"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HDI</w:t>
            </w:r>
          </w:p>
        </w:tc>
        <w:tc>
          <w:tcPr>
            <w:tcW w:w="2610" w:type="dxa"/>
            <w:vAlign w:val="center"/>
          </w:tcPr>
          <w:p w14:paraId="2C312BF8" w14:textId="77777777" w:rsidR="009779F2" w:rsidRPr="00C32F1F" w:rsidRDefault="003525CD" w:rsidP="009779F2">
            <w:pPr>
              <w:jc w:val="center"/>
              <w:rPr>
                <w:rFonts w:ascii="Arial" w:hAnsi="Arial" w:cs="Arial"/>
                <w:bCs/>
                <w:color w:val="121212"/>
              </w:rPr>
            </w:pPr>
            <w:r w:rsidRPr="00C32F1F">
              <w:rPr>
                <w:rFonts w:ascii="Arial" w:hAnsi="Arial" w:cs="Arial"/>
                <w:bCs/>
                <w:color w:val="121212"/>
              </w:rPr>
              <w:t xml:space="preserve">GNI per capita </w:t>
            </w:r>
          </w:p>
          <w:p w14:paraId="07699CC9" w14:textId="65348DCF" w:rsidR="009779F2" w:rsidRPr="00C32F1F" w:rsidRDefault="003525CD" w:rsidP="009779F2">
            <w:pPr>
              <w:jc w:val="center"/>
              <w:rPr>
                <w:rFonts w:ascii="Arial" w:hAnsi="Arial" w:cs="Arial"/>
                <w:bCs/>
                <w:color w:val="121212"/>
              </w:rPr>
            </w:pPr>
            <w:r w:rsidRPr="00C32F1F">
              <w:rPr>
                <w:rFonts w:ascii="Arial" w:hAnsi="Arial" w:cs="Arial"/>
                <w:bCs/>
                <w:color w:val="121212"/>
              </w:rPr>
              <w:t>(</w:t>
            </w:r>
            <w:r w:rsidR="000E1079" w:rsidRPr="00C32F1F">
              <w:rPr>
                <w:rFonts w:ascii="Arial" w:hAnsi="Arial" w:cs="Arial"/>
                <w:bCs/>
                <w:color w:val="121212"/>
              </w:rPr>
              <w:t xml:space="preserve">2011 </w:t>
            </w:r>
            <w:r w:rsidRPr="00C32F1F">
              <w:rPr>
                <w:rFonts w:ascii="Arial" w:hAnsi="Arial" w:cs="Arial"/>
                <w:bCs/>
                <w:color w:val="121212"/>
              </w:rPr>
              <w:t>PPP</w:t>
            </w:r>
            <w:r w:rsidR="000E1079" w:rsidRPr="00C32F1F">
              <w:rPr>
                <w:rFonts w:ascii="Arial" w:hAnsi="Arial" w:cs="Arial"/>
                <w:bCs/>
                <w:color w:val="121212"/>
              </w:rPr>
              <w:t xml:space="preserve"> </w:t>
            </w:r>
            <w:r w:rsidRPr="00C32F1F">
              <w:rPr>
                <w:rFonts w:ascii="Arial" w:hAnsi="Arial" w:cs="Arial"/>
                <w:bCs/>
                <w:color w:val="121212"/>
              </w:rPr>
              <w:t>$)</w:t>
            </w:r>
          </w:p>
        </w:tc>
        <w:tc>
          <w:tcPr>
            <w:tcW w:w="1890" w:type="dxa"/>
            <w:vAlign w:val="center"/>
          </w:tcPr>
          <w:p w14:paraId="79B08C6E"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Gini coefficient</w:t>
            </w:r>
          </w:p>
        </w:tc>
      </w:tr>
      <w:tr w:rsidR="003525CD" w:rsidRPr="00C32F1F" w14:paraId="4DE52F60" w14:textId="77777777" w:rsidTr="003817C3">
        <w:trPr>
          <w:trHeight w:val="432"/>
          <w:jc w:val="center"/>
        </w:trPr>
        <w:tc>
          <w:tcPr>
            <w:tcW w:w="1803" w:type="dxa"/>
            <w:vAlign w:val="center"/>
          </w:tcPr>
          <w:p w14:paraId="29B59141" w14:textId="77777777" w:rsidR="003525CD" w:rsidRPr="00C32F1F" w:rsidRDefault="003525CD" w:rsidP="008B6796">
            <w:pPr>
              <w:rPr>
                <w:rFonts w:ascii="Arial" w:hAnsi="Arial" w:cs="Arial"/>
                <w:bCs/>
                <w:color w:val="121212"/>
              </w:rPr>
            </w:pPr>
            <w:r w:rsidRPr="00C32F1F">
              <w:rPr>
                <w:rFonts w:ascii="Arial" w:hAnsi="Arial" w:cs="Arial"/>
                <w:bCs/>
                <w:color w:val="121212"/>
              </w:rPr>
              <w:t>Singapore</w:t>
            </w:r>
          </w:p>
        </w:tc>
        <w:tc>
          <w:tcPr>
            <w:tcW w:w="1252" w:type="dxa"/>
            <w:vAlign w:val="center"/>
          </w:tcPr>
          <w:p w14:paraId="359231CC" w14:textId="6D3E2B9D" w:rsidR="003525CD" w:rsidRPr="00C32F1F" w:rsidRDefault="00D452F5" w:rsidP="008B6796">
            <w:pPr>
              <w:jc w:val="center"/>
              <w:rPr>
                <w:rFonts w:ascii="Arial" w:hAnsi="Arial" w:cs="Arial"/>
                <w:bCs/>
                <w:color w:val="121212"/>
              </w:rPr>
            </w:pPr>
            <w:r w:rsidRPr="00C32F1F">
              <w:rPr>
                <w:rFonts w:ascii="Arial" w:hAnsi="Arial" w:cs="Arial"/>
                <w:bCs/>
                <w:color w:val="121212"/>
              </w:rPr>
              <w:t>0.935</w:t>
            </w:r>
          </w:p>
        </w:tc>
        <w:tc>
          <w:tcPr>
            <w:tcW w:w="2610" w:type="dxa"/>
            <w:vAlign w:val="center"/>
          </w:tcPr>
          <w:p w14:paraId="448D2804"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83,793</w:t>
            </w:r>
          </w:p>
        </w:tc>
        <w:tc>
          <w:tcPr>
            <w:tcW w:w="1890" w:type="dxa"/>
            <w:vAlign w:val="center"/>
          </w:tcPr>
          <w:p w14:paraId="7644F12D"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0.398</w:t>
            </w:r>
          </w:p>
        </w:tc>
      </w:tr>
      <w:tr w:rsidR="003525CD" w:rsidRPr="00C32F1F" w14:paraId="11F2B8D1" w14:textId="77777777" w:rsidTr="003817C3">
        <w:trPr>
          <w:trHeight w:val="432"/>
          <w:jc w:val="center"/>
        </w:trPr>
        <w:tc>
          <w:tcPr>
            <w:tcW w:w="1803" w:type="dxa"/>
            <w:vAlign w:val="center"/>
          </w:tcPr>
          <w:p w14:paraId="6C576298" w14:textId="77777777" w:rsidR="003525CD" w:rsidRPr="00C32F1F" w:rsidRDefault="003525CD" w:rsidP="008B6796">
            <w:pPr>
              <w:rPr>
                <w:rFonts w:ascii="Arial" w:hAnsi="Arial" w:cs="Arial"/>
                <w:bCs/>
                <w:color w:val="121212"/>
              </w:rPr>
            </w:pPr>
            <w:r w:rsidRPr="00C32F1F">
              <w:rPr>
                <w:rFonts w:ascii="Arial" w:hAnsi="Arial" w:cs="Arial"/>
                <w:bCs/>
                <w:color w:val="121212"/>
              </w:rPr>
              <w:t>Malaysia</w:t>
            </w:r>
          </w:p>
        </w:tc>
        <w:tc>
          <w:tcPr>
            <w:tcW w:w="1252" w:type="dxa"/>
            <w:vAlign w:val="center"/>
          </w:tcPr>
          <w:p w14:paraId="6F6E508F"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0.804</w:t>
            </w:r>
          </w:p>
        </w:tc>
        <w:tc>
          <w:tcPr>
            <w:tcW w:w="2610" w:type="dxa"/>
            <w:vAlign w:val="center"/>
          </w:tcPr>
          <w:p w14:paraId="76157B27"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27,227</w:t>
            </w:r>
          </w:p>
        </w:tc>
        <w:tc>
          <w:tcPr>
            <w:tcW w:w="1890" w:type="dxa"/>
            <w:vAlign w:val="center"/>
          </w:tcPr>
          <w:p w14:paraId="31227517"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0.428</w:t>
            </w:r>
          </w:p>
        </w:tc>
      </w:tr>
      <w:tr w:rsidR="003525CD" w:rsidRPr="00C32F1F" w14:paraId="07298DBF" w14:textId="77777777" w:rsidTr="003817C3">
        <w:trPr>
          <w:trHeight w:val="432"/>
          <w:jc w:val="center"/>
        </w:trPr>
        <w:tc>
          <w:tcPr>
            <w:tcW w:w="1803" w:type="dxa"/>
            <w:vAlign w:val="center"/>
          </w:tcPr>
          <w:p w14:paraId="27A8EC04" w14:textId="77777777" w:rsidR="003525CD" w:rsidRPr="00C32F1F" w:rsidRDefault="003525CD" w:rsidP="008B6796">
            <w:pPr>
              <w:rPr>
                <w:rFonts w:ascii="Arial" w:hAnsi="Arial" w:cs="Arial"/>
                <w:bCs/>
                <w:color w:val="121212"/>
              </w:rPr>
            </w:pPr>
            <w:r w:rsidRPr="00C32F1F">
              <w:rPr>
                <w:rFonts w:ascii="Arial" w:hAnsi="Arial" w:cs="Arial"/>
                <w:bCs/>
                <w:color w:val="121212"/>
              </w:rPr>
              <w:t>Thailand</w:t>
            </w:r>
          </w:p>
        </w:tc>
        <w:tc>
          <w:tcPr>
            <w:tcW w:w="1252" w:type="dxa"/>
            <w:vAlign w:val="center"/>
          </w:tcPr>
          <w:p w14:paraId="167310E0" w14:textId="371292D4" w:rsidR="003525CD" w:rsidRPr="00C32F1F" w:rsidRDefault="00755736" w:rsidP="008B6796">
            <w:pPr>
              <w:jc w:val="center"/>
              <w:rPr>
                <w:rFonts w:ascii="Arial" w:hAnsi="Arial" w:cs="Arial"/>
                <w:bCs/>
                <w:color w:val="121212"/>
              </w:rPr>
            </w:pPr>
            <w:r w:rsidRPr="00C32F1F">
              <w:rPr>
                <w:rFonts w:ascii="Arial" w:hAnsi="Arial" w:cs="Arial"/>
                <w:bCs/>
                <w:color w:val="121212"/>
              </w:rPr>
              <w:t>0.765</w:t>
            </w:r>
          </w:p>
        </w:tc>
        <w:tc>
          <w:tcPr>
            <w:tcW w:w="2610" w:type="dxa"/>
            <w:vAlign w:val="center"/>
          </w:tcPr>
          <w:p w14:paraId="575B166C"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16,129</w:t>
            </w:r>
          </w:p>
        </w:tc>
        <w:tc>
          <w:tcPr>
            <w:tcW w:w="1890" w:type="dxa"/>
            <w:vAlign w:val="center"/>
          </w:tcPr>
          <w:p w14:paraId="5C781E26"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0.437</w:t>
            </w:r>
          </w:p>
        </w:tc>
      </w:tr>
      <w:tr w:rsidR="003525CD" w:rsidRPr="00C32F1F" w14:paraId="1F2158AD" w14:textId="77777777" w:rsidTr="003817C3">
        <w:trPr>
          <w:trHeight w:val="432"/>
          <w:jc w:val="center"/>
        </w:trPr>
        <w:tc>
          <w:tcPr>
            <w:tcW w:w="1803" w:type="dxa"/>
            <w:vAlign w:val="center"/>
          </w:tcPr>
          <w:p w14:paraId="602F881D" w14:textId="77777777" w:rsidR="003525CD" w:rsidRPr="00C32F1F" w:rsidRDefault="003525CD" w:rsidP="008B6796">
            <w:pPr>
              <w:rPr>
                <w:rFonts w:ascii="Arial" w:hAnsi="Arial" w:cs="Arial"/>
                <w:bCs/>
                <w:color w:val="121212"/>
              </w:rPr>
            </w:pPr>
            <w:r w:rsidRPr="00C32F1F">
              <w:rPr>
                <w:rFonts w:ascii="Arial" w:hAnsi="Arial" w:cs="Arial"/>
                <w:bCs/>
                <w:color w:val="121212"/>
              </w:rPr>
              <w:t>Philippines</w:t>
            </w:r>
          </w:p>
        </w:tc>
        <w:tc>
          <w:tcPr>
            <w:tcW w:w="1252" w:type="dxa"/>
            <w:vAlign w:val="center"/>
          </w:tcPr>
          <w:p w14:paraId="1A85B56D" w14:textId="785ACB17" w:rsidR="003525CD" w:rsidRPr="00C32F1F" w:rsidRDefault="00755736" w:rsidP="008B6796">
            <w:pPr>
              <w:jc w:val="center"/>
              <w:rPr>
                <w:rFonts w:ascii="Arial" w:hAnsi="Arial" w:cs="Arial"/>
                <w:bCs/>
                <w:color w:val="121212"/>
              </w:rPr>
            </w:pPr>
            <w:r w:rsidRPr="00C32F1F">
              <w:rPr>
                <w:rFonts w:ascii="Arial" w:hAnsi="Arial" w:cs="Arial"/>
                <w:bCs/>
                <w:color w:val="121212"/>
              </w:rPr>
              <w:t>0.712</w:t>
            </w:r>
          </w:p>
        </w:tc>
        <w:tc>
          <w:tcPr>
            <w:tcW w:w="2610" w:type="dxa"/>
            <w:vAlign w:val="center"/>
          </w:tcPr>
          <w:p w14:paraId="168DD7DD"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9,540</w:t>
            </w:r>
          </w:p>
        </w:tc>
        <w:tc>
          <w:tcPr>
            <w:tcW w:w="1890" w:type="dxa"/>
            <w:vAlign w:val="center"/>
          </w:tcPr>
          <w:p w14:paraId="5A9EF4C7"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0.479</w:t>
            </w:r>
          </w:p>
        </w:tc>
      </w:tr>
      <w:tr w:rsidR="003525CD" w:rsidRPr="00C32F1F" w14:paraId="7CB7A78E" w14:textId="77777777" w:rsidTr="003817C3">
        <w:trPr>
          <w:trHeight w:val="432"/>
          <w:jc w:val="center"/>
        </w:trPr>
        <w:tc>
          <w:tcPr>
            <w:tcW w:w="1803" w:type="dxa"/>
            <w:vAlign w:val="center"/>
          </w:tcPr>
          <w:p w14:paraId="5D53AB47" w14:textId="77777777" w:rsidR="003525CD" w:rsidRPr="00C32F1F" w:rsidRDefault="003525CD" w:rsidP="008B6796">
            <w:pPr>
              <w:rPr>
                <w:rFonts w:ascii="Arial" w:hAnsi="Arial" w:cs="Arial"/>
                <w:bCs/>
                <w:color w:val="121212"/>
              </w:rPr>
            </w:pPr>
            <w:r w:rsidRPr="00C32F1F">
              <w:rPr>
                <w:rFonts w:ascii="Arial" w:hAnsi="Arial" w:cs="Arial"/>
                <w:bCs/>
                <w:color w:val="121212"/>
              </w:rPr>
              <w:t>Indonesia</w:t>
            </w:r>
          </w:p>
        </w:tc>
        <w:tc>
          <w:tcPr>
            <w:tcW w:w="1252" w:type="dxa"/>
            <w:vAlign w:val="center"/>
          </w:tcPr>
          <w:p w14:paraId="6DDEB91A" w14:textId="4466D5DA" w:rsidR="003525CD" w:rsidRPr="00C32F1F" w:rsidRDefault="00755736" w:rsidP="008B6796">
            <w:pPr>
              <w:jc w:val="center"/>
              <w:rPr>
                <w:rFonts w:ascii="Arial" w:hAnsi="Arial" w:cs="Arial"/>
                <w:bCs/>
                <w:color w:val="121212"/>
              </w:rPr>
            </w:pPr>
            <w:r w:rsidRPr="00C32F1F">
              <w:rPr>
                <w:rFonts w:ascii="Arial" w:hAnsi="Arial" w:cs="Arial"/>
                <w:bCs/>
                <w:color w:val="121212"/>
              </w:rPr>
              <w:t>0.707</w:t>
            </w:r>
          </w:p>
        </w:tc>
        <w:tc>
          <w:tcPr>
            <w:tcW w:w="2610" w:type="dxa"/>
            <w:vAlign w:val="center"/>
          </w:tcPr>
          <w:p w14:paraId="14701362"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11,256</w:t>
            </w:r>
          </w:p>
        </w:tc>
        <w:tc>
          <w:tcPr>
            <w:tcW w:w="1890" w:type="dxa"/>
            <w:vAlign w:val="center"/>
          </w:tcPr>
          <w:p w14:paraId="2AA450AC"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0.457</w:t>
            </w:r>
          </w:p>
        </w:tc>
      </w:tr>
      <w:tr w:rsidR="003525CD" w:rsidRPr="00C32F1F" w14:paraId="10E0E212" w14:textId="77777777" w:rsidTr="003817C3">
        <w:trPr>
          <w:trHeight w:val="432"/>
          <w:jc w:val="center"/>
        </w:trPr>
        <w:tc>
          <w:tcPr>
            <w:tcW w:w="1803" w:type="dxa"/>
            <w:vAlign w:val="center"/>
          </w:tcPr>
          <w:p w14:paraId="2CA3E0F5" w14:textId="77777777" w:rsidR="003525CD" w:rsidRPr="00C32F1F" w:rsidRDefault="003525CD" w:rsidP="008B6796">
            <w:pPr>
              <w:rPr>
                <w:rFonts w:ascii="Arial" w:hAnsi="Arial" w:cs="Arial"/>
                <w:bCs/>
                <w:color w:val="121212"/>
              </w:rPr>
            </w:pPr>
            <w:r w:rsidRPr="00C32F1F">
              <w:rPr>
                <w:rFonts w:ascii="Arial" w:hAnsi="Arial" w:cs="Arial"/>
                <w:bCs/>
                <w:color w:val="121212"/>
              </w:rPr>
              <w:t>Vietnam</w:t>
            </w:r>
          </w:p>
        </w:tc>
        <w:tc>
          <w:tcPr>
            <w:tcW w:w="1252" w:type="dxa"/>
            <w:vAlign w:val="center"/>
          </w:tcPr>
          <w:p w14:paraId="25F9DFE9" w14:textId="20A63396" w:rsidR="003525CD" w:rsidRPr="00C32F1F" w:rsidRDefault="00755736" w:rsidP="008B6796">
            <w:pPr>
              <w:jc w:val="center"/>
              <w:rPr>
                <w:rFonts w:ascii="Arial" w:hAnsi="Arial" w:cs="Arial"/>
                <w:bCs/>
                <w:color w:val="121212"/>
              </w:rPr>
            </w:pPr>
            <w:r w:rsidRPr="00C32F1F">
              <w:rPr>
                <w:rFonts w:ascii="Arial" w:hAnsi="Arial" w:cs="Arial"/>
                <w:bCs/>
                <w:color w:val="121212"/>
              </w:rPr>
              <w:t>0.693</w:t>
            </w:r>
          </w:p>
        </w:tc>
        <w:tc>
          <w:tcPr>
            <w:tcW w:w="2610" w:type="dxa"/>
            <w:vAlign w:val="center"/>
          </w:tcPr>
          <w:p w14:paraId="7E0FBD5D"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6,220</w:t>
            </w:r>
          </w:p>
        </w:tc>
        <w:tc>
          <w:tcPr>
            <w:tcW w:w="1890" w:type="dxa"/>
            <w:vAlign w:val="center"/>
          </w:tcPr>
          <w:p w14:paraId="3CE0A32E" w14:textId="77777777" w:rsidR="003525CD" w:rsidRPr="00C32F1F" w:rsidRDefault="003525CD" w:rsidP="008B6796">
            <w:pPr>
              <w:jc w:val="center"/>
              <w:rPr>
                <w:rFonts w:ascii="Arial" w:hAnsi="Arial" w:cs="Arial"/>
                <w:bCs/>
                <w:color w:val="121212"/>
              </w:rPr>
            </w:pPr>
            <w:r w:rsidRPr="00C32F1F">
              <w:rPr>
                <w:rFonts w:ascii="Arial" w:hAnsi="Arial" w:cs="Arial"/>
                <w:bCs/>
                <w:color w:val="121212"/>
              </w:rPr>
              <w:t>0.422</w:t>
            </w:r>
          </w:p>
        </w:tc>
      </w:tr>
      <w:tr w:rsidR="0083630D" w:rsidRPr="00C32F1F" w14:paraId="05800BD5" w14:textId="77777777" w:rsidTr="003817C3">
        <w:trPr>
          <w:trHeight w:val="432"/>
          <w:jc w:val="center"/>
        </w:trPr>
        <w:tc>
          <w:tcPr>
            <w:tcW w:w="1803" w:type="dxa"/>
            <w:vAlign w:val="center"/>
          </w:tcPr>
          <w:p w14:paraId="7A01910D" w14:textId="08DCA1C4" w:rsidR="0083630D" w:rsidRPr="00C32F1F" w:rsidRDefault="0083630D" w:rsidP="008B6796">
            <w:pPr>
              <w:rPr>
                <w:rFonts w:ascii="Arial" w:hAnsi="Arial" w:cs="Arial"/>
                <w:bCs/>
                <w:color w:val="121212"/>
              </w:rPr>
            </w:pPr>
            <w:r w:rsidRPr="00C32F1F">
              <w:rPr>
                <w:rFonts w:ascii="Arial" w:hAnsi="Arial" w:cs="Arial"/>
                <w:bCs/>
                <w:color w:val="121212"/>
              </w:rPr>
              <w:t>World average</w:t>
            </w:r>
          </w:p>
        </w:tc>
        <w:tc>
          <w:tcPr>
            <w:tcW w:w="1252" w:type="dxa"/>
            <w:vAlign w:val="center"/>
          </w:tcPr>
          <w:p w14:paraId="292687CD" w14:textId="6749D6B7" w:rsidR="0083630D" w:rsidRPr="00C32F1F" w:rsidRDefault="0083630D" w:rsidP="008B6796">
            <w:pPr>
              <w:jc w:val="center"/>
              <w:rPr>
                <w:rFonts w:ascii="Arial" w:hAnsi="Arial" w:cs="Arial"/>
                <w:bCs/>
                <w:color w:val="121212"/>
              </w:rPr>
            </w:pPr>
            <w:r w:rsidRPr="00C32F1F">
              <w:rPr>
                <w:rFonts w:ascii="Arial" w:hAnsi="Arial" w:cs="Arial"/>
                <w:bCs/>
                <w:color w:val="121212"/>
              </w:rPr>
              <w:t>0.718</w:t>
            </w:r>
          </w:p>
        </w:tc>
        <w:tc>
          <w:tcPr>
            <w:tcW w:w="2610" w:type="dxa"/>
            <w:vAlign w:val="center"/>
          </w:tcPr>
          <w:p w14:paraId="4634827D" w14:textId="15AAD1EB" w:rsidR="0083630D" w:rsidRPr="00C32F1F" w:rsidRDefault="0083630D" w:rsidP="008B6796">
            <w:pPr>
              <w:jc w:val="center"/>
              <w:rPr>
                <w:rFonts w:ascii="Arial" w:hAnsi="Arial" w:cs="Arial"/>
                <w:bCs/>
                <w:color w:val="121212"/>
              </w:rPr>
            </w:pPr>
            <w:r w:rsidRPr="00C32F1F">
              <w:rPr>
                <w:rFonts w:ascii="Arial" w:hAnsi="Arial" w:cs="Arial"/>
                <w:bCs/>
                <w:color w:val="121212"/>
              </w:rPr>
              <w:t>15,745</w:t>
            </w:r>
          </w:p>
        </w:tc>
        <w:tc>
          <w:tcPr>
            <w:tcW w:w="1890" w:type="dxa"/>
            <w:vAlign w:val="center"/>
          </w:tcPr>
          <w:p w14:paraId="677EC608" w14:textId="0D56305F" w:rsidR="0083630D" w:rsidRPr="00C32F1F" w:rsidRDefault="0083630D" w:rsidP="008B6796">
            <w:pPr>
              <w:jc w:val="center"/>
              <w:rPr>
                <w:rFonts w:ascii="Arial" w:hAnsi="Arial" w:cs="Arial"/>
                <w:bCs/>
                <w:color w:val="121212"/>
              </w:rPr>
            </w:pPr>
            <w:r w:rsidRPr="00C32F1F">
              <w:rPr>
                <w:rFonts w:ascii="Arial" w:hAnsi="Arial" w:cs="Arial"/>
                <w:bCs/>
                <w:color w:val="121212"/>
              </w:rPr>
              <w:t>-</w:t>
            </w:r>
          </w:p>
        </w:tc>
      </w:tr>
    </w:tbl>
    <w:p w14:paraId="7915B2F9" w14:textId="09E7501A" w:rsidR="009F3AC9" w:rsidRPr="00C32F1F" w:rsidRDefault="009F3AC9" w:rsidP="008B6796">
      <w:pPr>
        <w:pStyle w:val="NormalWeb"/>
        <w:shd w:val="clear" w:color="auto" w:fill="FFFFFF"/>
        <w:spacing w:before="0" w:beforeAutospacing="0" w:after="0" w:afterAutospacing="0"/>
        <w:rPr>
          <w:rFonts w:ascii="Arial" w:hAnsi="Arial" w:cs="Arial"/>
          <w:b/>
          <w:bCs/>
          <w:color w:val="121212"/>
          <w:sz w:val="22"/>
          <w:szCs w:val="22"/>
        </w:rPr>
      </w:pPr>
    </w:p>
    <w:p w14:paraId="3E66B7BF" w14:textId="2BFD6CD7" w:rsidR="00903240" w:rsidRPr="00C32F1F" w:rsidRDefault="00903240" w:rsidP="00903240">
      <w:pPr>
        <w:pStyle w:val="NormalWeb"/>
        <w:shd w:val="clear" w:color="auto" w:fill="FFFFFF"/>
        <w:spacing w:before="0" w:beforeAutospacing="0" w:after="0" w:afterAutospacing="0"/>
        <w:jc w:val="both"/>
        <w:rPr>
          <w:rFonts w:ascii="Arial" w:hAnsi="Arial" w:cs="Arial"/>
          <w:bCs/>
          <w:sz w:val="20"/>
          <w:szCs w:val="22"/>
        </w:rPr>
      </w:pPr>
      <w:r w:rsidRPr="00C32F1F">
        <w:rPr>
          <w:rFonts w:ascii="Arial" w:hAnsi="Arial" w:cs="Arial"/>
          <w:bCs/>
          <w:sz w:val="20"/>
          <w:szCs w:val="22"/>
        </w:rPr>
        <w:t xml:space="preserve">Notes: </w:t>
      </w:r>
    </w:p>
    <w:p w14:paraId="09F89C1D" w14:textId="08EA546E" w:rsidR="00903240" w:rsidRPr="00C32F1F" w:rsidRDefault="00903240" w:rsidP="005F169A">
      <w:pPr>
        <w:pStyle w:val="NormalWeb"/>
        <w:numPr>
          <w:ilvl w:val="0"/>
          <w:numId w:val="6"/>
        </w:numPr>
        <w:shd w:val="clear" w:color="auto" w:fill="FFFFFF"/>
        <w:spacing w:before="0" w:beforeAutospacing="0" w:after="0" w:afterAutospacing="0"/>
        <w:jc w:val="both"/>
        <w:rPr>
          <w:rFonts w:ascii="Arial" w:hAnsi="Arial" w:cs="Arial"/>
          <w:b/>
          <w:bCs/>
          <w:sz w:val="20"/>
          <w:szCs w:val="22"/>
        </w:rPr>
      </w:pPr>
      <w:r w:rsidRPr="00C32F1F">
        <w:rPr>
          <w:rFonts w:ascii="Arial" w:hAnsi="Arial" w:cs="Arial"/>
          <w:bCs/>
          <w:sz w:val="20"/>
          <w:szCs w:val="22"/>
        </w:rPr>
        <w:t xml:space="preserve">ASEAN </w:t>
      </w:r>
      <w:r w:rsidRPr="00C32F1F">
        <w:rPr>
          <w:rFonts w:ascii="Arial" w:hAnsi="Arial" w:cs="Arial"/>
          <w:sz w:val="20"/>
          <w:szCs w:val="21"/>
          <w:shd w:val="clear" w:color="auto" w:fill="FFFFFF"/>
        </w:rPr>
        <w:t>is a re</w:t>
      </w:r>
      <w:r w:rsidR="00145A25" w:rsidRPr="00C32F1F">
        <w:rPr>
          <w:rFonts w:ascii="Arial" w:hAnsi="Arial" w:cs="Arial"/>
          <w:sz w:val="20"/>
          <w:szCs w:val="21"/>
          <w:shd w:val="clear" w:color="auto" w:fill="FFFFFF"/>
        </w:rPr>
        <w:t>gional intergovernmental organis</w:t>
      </w:r>
      <w:r w:rsidRPr="00C32F1F">
        <w:rPr>
          <w:rFonts w:ascii="Arial" w:hAnsi="Arial" w:cs="Arial"/>
          <w:sz w:val="20"/>
          <w:szCs w:val="21"/>
          <w:shd w:val="clear" w:color="auto" w:fill="FFFFFF"/>
        </w:rPr>
        <w:t>ation comprising ten countries in Southeast Asia,</w:t>
      </w:r>
    </w:p>
    <w:p w14:paraId="75DFBF8B" w14:textId="77777777" w:rsidR="00903240" w:rsidRPr="00C32F1F" w:rsidRDefault="00903240" w:rsidP="008B6796">
      <w:pPr>
        <w:pStyle w:val="NormalWeb"/>
        <w:shd w:val="clear" w:color="auto" w:fill="FFFFFF"/>
        <w:spacing w:before="0" w:beforeAutospacing="0" w:after="0" w:afterAutospacing="0"/>
        <w:rPr>
          <w:rFonts w:ascii="Arial" w:hAnsi="Arial" w:cs="Arial"/>
          <w:b/>
          <w:bCs/>
          <w:color w:val="121212"/>
          <w:sz w:val="22"/>
          <w:szCs w:val="22"/>
        </w:rPr>
      </w:pPr>
    </w:p>
    <w:p w14:paraId="4C33D897" w14:textId="7FA7A2A0" w:rsidR="00B50C48" w:rsidRPr="00C32F1F" w:rsidRDefault="00B50C48" w:rsidP="008B6796">
      <w:pPr>
        <w:shd w:val="clear" w:color="auto" w:fill="FFFFFF"/>
        <w:spacing w:after="0" w:line="240" w:lineRule="auto"/>
        <w:jc w:val="right"/>
        <w:rPr>
          <w:rFonts w:ascii="Arial" w:eastAsia="Times New Roman" w:hAnsi="Arial" w:cs="Arial"/>
          <w:i/>
          <w:iCs/>
          <w:color w:val="121212"/>
        </w:rPr>
      </w:pPr>
      <w:r w:rsidRPr="00C32F1F">
        <w:rPr>
          <w:rFonts w:ascii="Arial" w:eastAsia="Times New Roman" w:hAnsi="Arial" w:cs="Arial"/>
          <w:i/>
          <w:iCs/>
          <w:color w:val="121212"/>
        </w:rPr>
        <w:t>Source</w:t>
      </w:r>
      <w:r w:rsidR="00755736" w:rsidRPr="00C32F1F">
        <w:rPr>
          <w:rFonts w:ascii="Arial" w:eastAsia="Times New Roman" w:hAnsi="Arial" w:cs="Arial"/>
          <w:i/>
          <w:iCs/>
          <w:color w:val="121212"/>
        </w:rPr>
        <w:t>s</w:t>
      </w:r>
      <w:r w:rsidRPr="00C32F1F">
        <w:rPr>
          <w:rFonts w:ascii="Arial" w:eastAsia="Times New Roman" w:hAnsi="Arial" w:cs="Arial"/>
          <w:i/>
          <w:iCs/>
          <w:color w:val="121212"/>
        </w:rPr>
        <w:t>:</w:t>
      </w:r>
      <w:r w:rsidR="00755736" w:rsidRPr="00C32F1F">
        <w:rPr>
          <w:rFonts w:ascii="Arial" w:eastAsia="Times New Roman" w:hAnsi="Arial" w:cs="Arial"/>
          <w:i/>
          <w:iCs/>
          <w:color w:val="121212"/>
        </w:rPr>
        <w:t xml:space="preserve"> UNDP Human Development Report 2019, </w:t>
      </w:r>
      <w:r w:rsidR="000E1079" w:rsidRPr="00C32F1F">
        <w:rPr>
          <w:rFonts w:ascii="Arial" w:eastAsia="Times New Roman" w:hAnsi="Arial" w:cs="Arial"/>
          <w:i/>
          <w:iCs/>
          <w:color w:val="121212"/>
        </w:rPr>
        <w:t>konema.com/atlas/ranks/GINI-index</w:t>
      </w:r>
      <w:r w:rsidR="00755736" w:rsidRPr="00C32F1F">
        <w:rPr>
          <w:rFonts w:ascii="Arial" w:hAnsi="Arial" w:cs="Arial"/>
          <w:i/>
          <w:iCs/>
        </w:rPr>
        <w:t>, accessed 24 August</w:t>
      </w:r>
      <w:r w:rsidR="002C0083" w:rsidRPr="00C32F1F">
        <w:rPr>
          <w:rFonts w:ascii="Arial" w:hAnsi="Arial" w:cs="Arial"/>
          <w:i/>
          <w:iCs/>
        </w:rPr>
        <w:t xml:space="preserve"> 2020</w:t>
      </w:r>
    </w:p>
    <w:p w14:paraId="1AEAAEAC" w14:textId="77777777" w:rsidR="00D667D1" w:rsidRPr="00C32F1F" w:rsidRDefault="00D667D1" w:rsidP="008B6796">
      <w:pPr>
        <w:pStyle w:val="Default"/>
        <w:rPr>
          <w:sz w:val="22"/>
          <w:szCs w:val="22"/>
        </w:rPr>
      </w:pPr>
    </w:p>
    <w:p w14:paraId="7AAB42D0" w14:textId="0E8116C5" w:rsidR="00975575" w:rsidRPr="00C32F1F" w:rsidRDefault="00D667D1" w:rsidP="008B6796">
      <w:pPr>
        <w:shd w:val="clear" w:color="auto" w:fill="FFFFFF"/>
        <w:spacing w:after="0" w:line="240" w:lineRule="auto"/>
        <w:jc w:val="both"/>
      </w:pPr>
      <w:r w:rsidRPr="00C32F1F">
        <w:t xml:space="preserve"> </w:t>
      </w:r>
      <w:r w:rsidR="00975575" w:rsidRPr="00C32F1F">
        <w:rPr>
          <w:rFonts w:ascii="Arial" w:eastAsia="Times New Roman" w:hAnsi="Arial" w:cs="Arial"/>
          <w:b/>
          <w:bCs/>
          <w:color w:val="121212"/>
        </w:rPr>
        <w:t>Extract</w:t>
      </w:r>
      <w:r w:rsidR="006A5DC9" w:rsidRPr="00C32F1F">
        <w:rPr>
          <w:rFonts w:ascii="Arial" w:eastAsia="Times New Roman" w:hAnsi="Arial" w:cs="Arial"/>
          <w:b/>
          <w:bCs/>
          <w:color w:val="121212"/>
        </w:rPr>
        <w:t xml:space="preserve"> 7</w:t>
      </w:r>
      <w:r w:rsidR="00975575" w:rsidRPr="00C32F1F">
        <w:rPr>
          <w:rFonts w:ascii="Arial" w:eastAsia="Times New Roman" w:hAnsi="Arial" w:cs="Arial"/>
          <w:b/>
          <w:bCs/>
          <w:color w:val="121212"/>
        </w:rPr>
        <w:t xml:space="preserve">: </w:t>
      </w:r>
      <w:r w:rsidR="009D735C" w:rsidRPr="00C32F1F">
        <w:rPr>
          <w:rFonts w:ascii="Arial" w:eastAsia="Times New Roman" w:hAnsi="Arial" w:cs="Arial"/>
          <w:b/>
          <w:bCs/>
          <w:color w:val="121212"/>
        </w:rPr>
        <w:t>Southeast Asia’s expansionary fiscal budgets put markets on edge</w:t>
      </w:r>
    </w:p>
    <w:p w14:paraId="340D376C" w14:textId="77777777" w:rsidR="00975575" w:rsidRPr="00C32F1F" w:rsidRDefault="00975575" w:rsidP="008B6796">
      <w:pPr>
        <w:pStyle w:val="NormalWeb"/>
        <w:shd w:val="clear" w:color="auto" w:fill="FFFFFF"/>
        <w:spacing w:before="0" w:beforeAutospacing="0" w:after="0" w:afterAutospacing="0"/>
        <w:jc w:val="both"/>
        <w:rPr>
          <w:rFonts w:eastAsia="Calibri"/>
          <w:color w:val="000000"/>
          <w:sz w:val="22"/>
          <w:szCs w:val="22"/>
          <w:lang w:bidi="ar-SA"/>
        </w:rPr>
      </w:pPr>
    </w:p>
    <w:p w14:paraId="6C193E01" w14:textId="1C725526" w:rsidR="00FF4AEF" w:rsidRPr="00C32F1F" w:rsidRDefault="00975575" w:rsidP="008B6796">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C32F1F">
        <w:rPr>
          <w:rFonts w:ascii="Arial" w:hAnsi="Arial" w:cs="Arial"/>
          <w:color w:val="333333"/>
          <w:sz w:val="22"/>
          <w:szCs w:val="22"/>
        </w:rPr>
        <w:t xml:space="preserve">Southeast Asian governments are expected to spend more this year as they try to prop up growth and address domestic challenges, unnerving </w:t>
      </w:r>
      <w:r w:rsidR="00903240" w:rsidRPr="00C32F1F">
        <w:rPr>
          <w:rFonts w:ascii="Arial" w:hAnsi="Arial" w:cs="Arial"/>
          <w:color w:val="333333"/>
          <w:sz w:val="22"/>
          <w:szCs w:val="22"/>
        </w:rPr>
        <w:t>investors</w:t>
      </w:r>
      <w:r w:rsidRPr="00C32F1F">
        <w:rPr>
          <w:rFonts w:ascii="Arial" w:hAnsi="Arial" w:cs="Arial"/>
          <w:color w:val="333333"/>
          <w:sz w:val="22"/>
          <w:szCs w:val="22"/>
        </w:rPr>
        <w:t xml:space="preserve"> who fret that heavier spending and falling governmen</w:t>
      </w:r>
      <w:r w:rsidR="00903240" w:rsidRPr="00C32F1F">
        <w:rPr>
          <w:rFonts w:ascii="Arial" w:hAnsi="Arial" w:cs="Arial"/>
          <w:color w:val="333333"/>
          <w:sz w:val="22"/>
          <w:szCs w:val="22"/>
        </w:rPr>
        <w:t>t revenues will combine to upend</w:t>
      </w:r>
      <w:r w:rsidRPr="00C32F1F">
        <w:rPr>
          <w:rFonts w:ascii="Arial" w:hAnsi="Arial" w:cs="Arial"/>
          <w:color w:val="333333"/>
          <w:sz w:val="22"/>
          <w:szCs w:val="22"/>
        </w:rPr>
        <w:t xml:space="preserve"> the region's economy. The region's expansionary fiscal plans, </w:t>
      </w:r>
      <w:r w:rsidR="00267C64" w:rsidRPr="00C32F1F">
        <w:rPr>
          <w:rFonts w:ascii="Arial" w:hAnsi="Arial" w:cs="Arial"/>
          <w:color w:val="333333"/>
          <w:sz w:val="22"/>
          <w:szCs w:val="22"/>
        </w:rPr>
        <w:t>however, pose an economic risk by</w:t>
      </w:r>
      <w:r w:rsidRPr="00C32F1F">
        <w:rPr>
          <w:rFonts w:ascii="Arial" w:hAnsi="Arial" w:cs="Arial"/>
          <w:color w:val="333333"/>
          <w:sz w:val="22"/>
          <w:szCs w:val="22"/>
        </w:rPr>
        <w:t xml:space="preserve"> adding to swelling g</w:t>
      </w:r>
      <w:r w:rsidR="00CB5B49" w:rsidRPr="00C32F1F">
        <w:rPr>
          <w:rFonts w:ascii="Arial" w:hAnsi="Arial" w:cs="Arial"/>
          <w:color w:val="333333"/>
          <w:sz w:val="22"/>
          <w:szCs w:val="22"/>
        </w:rPr>
        <w:t>overnment debts.</w:t>
      </w:r>
      <w:r w:rsidR="00FF4AEF" w:rsidRPr="00C32F1F">
        <w:rPr>
          <w:rFonts w:ascii="Arial" w:hAnsi="Arial" w:cs="Arial"/>
          <w:color w:val="333333"/>
          <w:sz w:val="22"/>
          <w:szCs w:val="22"/>
        </w:rPr>
        <w:t xml:space="preserve"> </w:t>
      </w:r>
    </w:p>
    <w:p w14:paraId="597A6A48" w14:textId="77777777" w:rsidR="00FF4AEF" w:rsidRPr="00C32F1F" w:rsidRDefault="00FF4AEF" w:rsidP="008B6796">
      <w:pPr>
        <w:pStyle w:val="NormalWeb"/>
        <w:shd w:val="clear" w:color="auto" w:fill="FFFFFF"/>
        <w:spacing w:before="0" w:beforeAutospacing="0" w:after="0" w:afterAutospacing="0"/>
        <w:jc w:val="both"/>
        <w:textAlignment w:val="baseline"/>
        <w:rPr>
          <w:rFonts w:ascii="Arial" w:hAnsi="Arial" w:cs="Arial"/>
          <w:color w:val="000000"/>
          <w:sz w:val="22"/>
          <w:szCs w:val="22"/>
        </w:rPr>
      </w:pPr>
    </w:p>
    <w:p w14:paraId="4FAFE125" w14:textId="77777777" w:rsidR="00FF4AEF" w:rsidRPr="00C32F1F" w:rsidRDefault="00FF4AEF" w:rsidP="008B6796">
      <w:pPr>
        <w:pStyle w:val="NormalWeb"/>
        <w:shd w:val="clear" w:color="auto" w:fill="FFFFFF"/>
        <w:spacing w:before="0" w:beforeAutospacing="0" w:after="0" w:afterAutospacing="0"/>
        <w:jc w:val="both"/>
        <w:textAlignment w:val="baseline"/>
        <w:rPr>
          <w:rFonts w:ascii="Arial" w:hAnsi="Arial" w:cs="Arial"/>
          <w:color w:val="000000"/>
          <w:sz w:val="22"/>
          <w:szCs w:val="22"/>
        </w:rPr>
      </w:pPr>
    </w:p>
    <w:p w14:paraId="4919420B" w14:textId="0ADFE73E" w:rsidR="00D917AF" w:rsidRPr="00C32F1F" w:rsidRDefault="00D917AF" w:rsidP="008B679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 xml:space="preserve">Source: Nikkei Asian Review, 16 February 2019 </w:t>
      </w:r>
    </w:p>
    <w:p w14:paraId="13AE2178" w14:textId="59CDCF0B" w:rsidR="003528ED" w:rsidRPr="00C32F1F" w:rsidRDefault="003528ED" w:rsidP="00D667D1">
      <w:pPr>
        <w:pStyle w:val="Default"/>
        <w:rPr>
          <w:sz w:val="22"/>
          <w:szCs w:val="22"/>
        </w:rPr>
      </w:pPr>
    </w:p>
    <w:p w14:paraId="478CB741" w14:textId="72B6E5D0" w:rsidR="003817C3" w:rsidRPr="00C32F1F" w:rsidRDefault="003817C3" w:rsidP="00D667D1">
      <w:pPr>
        <w:pStyle w:val="Default"/>
        <w:rPr>
          <w:sz w:val="22"/>
          <w:szCs w:val="22"/>
        </w:rPr>
      </w:pPr>
    </w:p>
    <w:p w14:paraId="6D9B6109" w14:textId="2B1D072E" w:rsidR="003817C3" w:rsidRPr="00C32F1F" w:rsidRDefault="003817C3" w:rsidP="00D667D1">
      <w:pPr>
        <w:pStyle w:val="Default"/>
        <w:rPr>
          <w:sz w:val="22"/>
          <w:szCs w:val="22"/>
        </w:rPr>
      </w:pPr>
    </w:p>
    <w:p w14:paraId="13A9353F" w14:textId="1BAAF822" w:rsidR="003817C3" w:rsidRPr="00C32F1F" w:rsidRDefault="003817C3" w:rsidP="00D667D1">
      <w:pPr>
        <w:pStyle w:val="Default"/>
        <w:rPr>
          <w:sz w:val="22"/>
          <w:szCs w:val="22"/>
        </w:rPr>
      </w:pPr>
    </w:p>
    <w:p w14:paraId="08FDF690" w14:textId="77777777" w:rsidR="00145A25" w:rsidRPr="00C32F1F" w:rsidRDefault="00145A25" w:rsidP="00D667D1">
      <w:pPr>
        <w:pStyle w:val="Default"/>
        <w:rPr>
          <w:sz w:val="22"/>
          <w:szCs w:val="22"/>
        </w:rPr>
      </w:pPr>
    </w:p>
    <w:p w14:paraId="7D62A1F2" w14:textId="01868AD9" w:rsidR="003817C3" w:rsidRPr="00C32F1F" w:rsidRDefault="003817C3" w:rsidP="00D667D1">
      <w:pPr>
        <w:pStyle w:val="Default"/>
        <w:rPr>
          <w:sz w:val="22"/>
          <w:szCs w:val="22"/>
        </w:rPr>
      </w:pPr>
    </w:p>
    <w:p w14:paraId="72877B5E" w14:textId="32E35C97" w:rsidR="003817C3" w:rsidRPr="00C32F1F" w:rsidRDefault="003817C3" w:rsidP="00D667D1">
      <w:pPr>
        <w:pStyle w:val="Default"/>
        <w:rPr>
          <w:sz w:val="22"/>
          <w:szCs w:val="22"/>
        </w:rPr>
      </w:pPr>
    </w:p>
    <w:p w14:paraId="3920F3A4" w14:textId="5E89362A" w:rsidR="00AF5F2D" w:rsidRPr="00C32F1F" w:rsidRDefault="00AF5F2D" w:rsidP="00AF5F2D">
      <w:pPr>
        <w:jc w:val="center"/>
        <w:rPr>
          <w:rFonts w:ascii="Arial" w:hAnsi="Arial" w:cs="Arial"/>
          <w:b/>
          <w:bCs/>
          <w:color w:val="121212"/>
        </w:rPr>
      </w:pPr>
      <w:r w:rsidRPr="00C32F1F">
        <w:rPr>
          <w:rFonts w:ascii="Arial" w:hAnsi="Arial" w:cs="Arial"/>
          <w:b/>
          <w:bCs/>
          <w:color w:val="121212"/>
        </w:rPr>
        <w:lastRenderedPageBreak/>
        <w:t>Figure</w:t>
      </w:r>
      <w:r w:rsidR="006A5DC9" w:rsidRPr="00C32F1F">
        <w:rPr>
          <w:rFonts w:ascii="Arial" w:hAnsi="Arial" w:cs="Arial"/>
          <w:b/>
          <w:bCs/>
          <w:color w:val="121212"/>
        </w:rPr>
        <w:t xml:space="preserve"> 2</w:t>
      </w:r>
      <w:r w:rsidRPr="00C32F1F">
        <w:rPr>
          <w:rFonts w:ascii="Arial" w:hAnsi="Arial" w:cs="Arial"/>
          <w:b/>
          <w:bCs/>
          <w:color w:val="121212"/>
        </w:rPr>
        <w:t>: B</w:t>
      </w:r>
      <w:r w:rsidR="003528ED" w:rsidRPr="00C32F1F">
        <w:rPr>
          <w:rFonts w:ascii="Arial" w:hAnsi="Arial" w:cs="Arial"/>
          <w:b/>
          <w:bCs/>
          <w:color w:val="121212"/>
        </w:rPr>
        <w:t>udget balance</w:t>
      </w:r>
      <w:r w:rsidR="00957065" w:rsidRPr="00C32F1F">
        <w:rPr>
          <w:rFonts w:ascii="Arial" w:hAnsi="Arial" w:cs="Arial"/>
          <w:b/>
          <w:bCs/>
          <w:color w:val="121212"/>
        </w:rPr>
        <w:t xml:space="preserve"> for selected ASEAN countries</w:t>
      </w:r>
      <w:r w:rsidR="003528ED" w:rsidRPr="00C32F1F">
        <w:rPr>
          <w:rFonts w:ascii="Arial" w:hAnsi="Arial" w:cs="Arial"/>
          <w:b/>
          <w:bCs/>
          <w:color w:val="121212"/>
        </w:rPr>
        <w:t xml:space="preserve">, 2015-2019 (% of GDP) </w:t>
      </w:r>
    </w:p>
    <w:p w14:paraId="01E593EC" w14:textId="4CD56F7A" w:rsidR="004645FA" w:rsidRPr="00C32F1F" w:rsidRDefault="004645FA" w:rsidP="001547BF">
      <w:pPr>
        <w:spacing w:after="0"/>
        <w:jc w:val="both"/>
        <w:rPr>
          <w:rFonts w:ascii="Arial" w:hAnsi="Arial" w:cs="Arial"/>
          <w:color w:val="000000" w:themeColor="text1"/>
          <w:shd w:val="clear" w:color="auto" w:fill="FFFFFF"/>
        </w:rPr>
      </w:pPr>
      <w:r w:rsidRPr="00C32F1F">
        <w:rPr>
          <w:noProof/>
          <w:lang w:val="en-US"/>
        </w:rPr>
        <mc:AlternateContent>
          <mc:Choice Requires="wpg">
            <w:drawing>
              <wp:anchor distT="0" distB="0" distL="114300" distR="114300" simplePos="0" relativeHeight="251660288" behindDoc="0" locked="0" layoutInCell="1" allowOverlap="1" wp14:anchorId="3519D63F" wp14:editId="5A9035BE">
                <wp:simplePos x="0" y="0"/>
                <wp:positionH relativeFrom="column">
                  <wp:posOffset>1466952</wp:posOffset>
                </wp:positionH>
                <wp:positionV relativeFrom="paragraph">
                  <wp:posOffset>36253</wp:posOffset>
                </wp:positionV>
                <wp:extent cx="3254929" cy="331470"/>
                <wp:effectExtent l="0" t="0" r="3175" b="0"/>
                <wp:wrapNone/>
                <wp:docPr id="11" name="Group 10"/>
                <wp:cNvGraphicFramePr/>
                <a:graphic xmlns:a="http://schemas.openxmlformats.org/drawingml/2006/main">
                  <a:graphicData uri="http://schemas.microsoft.com/office/word/2010/wordprocessingGroup">
                    <wpg:wgp>
                      <wpg:cNvGrpSpPr/>
                      <wpg:grpSpPr>
                        <a:xfrm>
                          <a:off x="0" y="0"/>
                          <a:ext cx="3254929" cy="331470"/>
                          <a:chOff x="244506" y="-1"/>
                          <a:chExt cx="3255097" cy="264368"/>
                        </a:xfrm>
                      </wpg:grpSpPr>
                      <wps:wsp>
                        <wps:cNvPr id="2" name="TextBox 4"/>
                        <wps:cNvSpPr txBox="1"/>
                        <wps:spPr>
                          <a:xfrm>
                            <a:off x="244506" y="0"/>
                            <a:ext cx="488950" cy="25400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281A68DB"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2015</w:t>
                              </w:r>
                            </w:p>
                          </w:txbxContent>
                        </wps:txbx>
                        <wps:bodyPr wrap="square" rtlCol="0" anchor="t"/>
                      </wps:wsp>
                      <wps:wsp>
                        <wps:cNvPr id="3" name="TextBox 5"/>
                        <wps:cNvSpPr txBox="1"/>
                        <wps:spPr>
                          <a:xfrm>
                            <a:off x="923654" y="-1"/>
                            <a:ext cx="488950" cy="238450"/>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83559ED"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2016</w:t>
                              </w:r>
                            </w:p>
                          </w:txbxContent>
                        </wps:txbx>
                        <wps:bodyPr wrap="square" rtlCol="0" anchor="t"/>
                      </wps:wsp>
                      <wps:wsp>
                        <wps:cNvPr id="4" name="TextBox 6"/>
                        <wps:cNvSpPr txBox="1"/>
                        <wps:spPr>
                          <a:xfrm>
                            <a:off x="1605274" y="0"/>
                            <a:ext cx="488950" cy="238243"/>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51C78DB2"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2017</w:t>
                              </w:r>
                            </w:p>
                          </w:txbxContent>
                        </wps:txbx>
                        <wps:bodyPr wrap="square" rtlCol="0" anchor="t"/>
                      </wps:wsp>
                      <wps:wsp>
                        <wps:cNvPr id="5" name="TextBox 7"/>
                        <wps:cNvSpPr txBox="1"/>
                        <wps:spPr>
                          <a:xfrm>
                            <a:off x="2306198" y="-1"/>
                            <a:ext cx="488950" cy="24363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F93D322"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2018</w:t>
                              </w:r>
                            </w:p>
                          </w:txbxContent>
                        </wps:txbx>
                        <wps:bodyPr wrap="square" rtlCol="0" anchor="t"/>
                      </wps:wsp>
                      <wps:wsp>
                        <wps:cNvPr id="6" name="TextBox 8"/>
                        <wps:cNvSpPr txBox="1"/>
                        <wps:spPr>
                          <a:xfrm>
                            <a:off x="3010653" y="6345"/>
                            <a:ext cx="488950" cy="25802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1517A7A8"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2019</w:t>
                              </w:r>
                            </w:p>
                          </w:txbxContent>
                        </wps:txbx>
                        <wps:bodyPr wrap="square" rtlCol="0" anchor="t"/>
                      </wps:wsp>
                    </wpg:wgp>
                  </a:graphicData>
                </a:graphic>
                <wp14:sizeRelH relativeFrom="margin">
                  <wp14:pctWidth>0</wp14:pctWidth>
                </wp14:sizeRelH>
                <wp14:sizeRelV relativeFrom="margin">
                  <wp14:pctHeight>0</wp14:pctHeight>
                </wp14:sizeRelV>
              </wp:anchor>
            </w:drawing>
          </mc:Choice>
          <mc:Fallback>
            <w:pict>
              <v:group w14:anchorId="3519D63F" id="Group 10" o:spid="_x0000_s1026" style="position:absolute;left:0;text-align:left;margin-left:115.5pt;margin-top:2.85pt;width:256.3pt;height:26.1pt;z-index:251660288;mso-width-relative:margin;mso-height-relative:margin" coordorigin="2445" coordsize="32550,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">
                <v:shapetype id="_x0000_t202" coordsize="21600,21600" o:spt="202" path="m,l,21600r21600,l21600,xe">
                  <v:stroke joinstyle="miter"/>
                  <v:path gradientshapeok="t" o:connecttype="rect"/>
                </v:shapetype>
                <v:shape id="TextBox 4" o:spid="_x0000_s1027" type="#_x0000_t202" style="position:absolute;left:2445;width:488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" fillcolor="white [3201]" stroked="f">
                  <v:textbox>
                    <w:txbxContent>
                      <w:p w14:paraId="281A68DB"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2015</w:t>
                        </w:r>
                      </w:p>
                    </w:txbxContent>
                  </v:textbox>
                </v:shape>
                <v:shape id="TextBox 5" o:spid="_x0000_s1028" type="#_x0000_t202" style="position:absolute;left:9236;width:4890;height:2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M9xQAAANoAAAAPAAAAZHJzL2Rvd25yZXYueG1sRI9Ba8JA&#10;FITvBf/D8oReitnUQ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D+fHM9xQAAANoAAAAP&#10;AAAAAAAAAAAAAAAAAAcCAABkcnMvZG93bnJldi54bWxQSwUGAAAAAAMAAwC3AAAA+QIAAAAA&#10;" fillcolor="white [3201]" stroked="f">
                  <v:textbox>
                    <w:txbxContent>
                      <w:p w14:paraId="183559ED"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2016</w:t>
                        </w:r>
                      </w:p>
                    </w:txbxContent>
                  </v:textbox>
                </v:shape>
                <v:shape id="TextBox 6" o:spid="_x0000_s1029" type="#_x0000_t202" style="position:absolute;left:16052;width:4890;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tJxQAAANoAAAAPAAAAZHJzL2Rvd25yZXYueG1sRI9Ba8JA&#10;FITvBf/D8oReitlUSm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BxletJxQAAANoAAAAP&#10;AAAAAAAAAAAAAAAAAAcCAABkcnMvZG93bnJldi54bWxQSwUGAAAAAAMAAwC3AAAA+QIAAAAA&#10;" fillcolor="white [3201]" stroked="f">
                  <v:textbox>
                    <w:txbxContent>
                      <w:p w14:paraId="51C78DB2"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2017</w:t>
                        </w:r>
                      </w:p>
                    </w:txbxContent>
                  </v:textbox>
                </v:shape>
                <v:shape id="TextBox 7" o:spid="_x0000_s1030" type="#_x0000_t202" style="position:absolute;left:23061;width:4890;height:2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" fillcolor="white [3201]" stroked="f">
                  <v:textbox>
                    <w:txbxContent>
                      <w:p w14:paraId="6F93D322"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2018</w:t>
                        </w:r>
                      </w:p>
                    </w:txbxContent>
                  </v:textbox>
                </v:shape>
                <v:shape id="TextBox 8" o:spid="_x0000_s1031" type="#_x0000_t202" style="position:absolute;left:30106;top:63;width:4890;height:2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" fillcolor="white [3201]" stroked="f">
                  <v:textbox>
                    <w:txbxContent>
                      <w:p w14:paraId="1517A7A8" w14:textId="77777777" w:rsidR="00D03A89" w:rsidRPr="00966FC2" w:rsidRDefault="00D03A89" w:rsidP="006331B4">
                        <w:pPr>
                          <w:pStyle w:val="NormalWeb"/>
                          <w:spacing w:before="0" w:beforeAutospacing="0" w:after="0" w:afterAutospacing="0"/>
                          <w:rPr>
                            <w:b/>
                          </w:rPr>
                        </w:pPr>
                        <w:r w:rsidRPr="00966FC2">
                          <w:rPr>
                            <w:rFonts w:asciiTheme="minorHAnsi" w:hAnsi="Calibri" w:cstheme="minorBidi"/>
                            <w:b/>
                            <w:color w:val="000000" w:themeColor="dark1"/>
                            <w:sz w:val="22"/>
                            <w:szCs w:val="22"/>
                          </w:rPr>
                          <w:t>2019</w:t>
                        </w:r>
                      </w:p>
                    </w:txbxContent>
                  </v:textbox>
                </v:shape>
              </v:group>
            </w:pict>
          </mc:Fallback>
        </mc:AlternateContent>
      </w:r>
    </w:p>
    <w:p w14:paraId="595EBC6B" w14:textId="5FB46610" w:rsidR="001547BF" w:rsidRPr="00C32F1F" w:rsidRDefault="004645FA" w:rsidP="001547BF">
      <w:pPr>
        <w:spacing w:after="0"/>
        <w:jc w:val="both"/>
        <w:rPr>
          <w:rFonts w:ascii="Arial" w:hAnsi="Arial" w:cs="Arial"/>
          <w:b/>
          <w:bCs/>
          <w:color w:val="000000" w:themeColor="text1"/>
        </w:rPr>
      </w:pPr>
      <w:r w:rsidRPr="00C32F1F">
        <w:rPr>
          <w:noProof/>
          <w:lang w:val="en-US"/>
        </w:rPr>
        <w:drawing>
          <wp:anchor distT="0" distB="0" distL="114300" distR="114300" simplePos="0" relativeHeight="251661312" behindDoc="0" locked="0" layoutInCell="1" allowOverlap="1" wp14:anchorId="1C633423" wp14:editId="5C563264">
            <wp:simplePos x="0" y="0"/>
            <wp:positionH relativeFrom="column">
              <wp:posOffset>772160</wp:posOffset>
            </wp:positionH>
            <wp:positionV relativeFrom="paragraph">
              <wp:posOffset>156210</wp:posOffset>
            </wp:positionV>
            <wp:extent cx="4185285" cy="2190115"/>
            <wp:effectExtent l="0" t="0" r="5715" b="63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V relativeFrom="margin">
              <wp14:pctHeight>0</wp14:pctHeight>
            </wp14:sizeRelV>
          </wp:anchor>
        </w:drawing>
      </w:r>
    </w:p>
    <w:p w14:paraId="3B1A1828" w14:textId="7648BE2B" w:rsidR="00926FBD" w:rsidRPr="00C32F1F" w:rsidRDefault="00926FBD" w:rsidP="00267C64">
      <w:pPr>
        <w:pStyle w:val="Default"/>
        <w:jc w:val="center"/>
        <w:rPr>
          <w:sz w:val="22"/>
          <w:szCs w:val="22"/>
          <w:lang w:val="en-SG"/>
        </w:rPr>
      </w:pPr>
    </w:p>
    <w:p w14:paraId="7DB12E9A" w14:textId="2E17159F" w:rsidR="00AF5F2D" w:rsidRPr="00C32F1F" w:rsidRDefault="00AF5F2D" w:rsidP="00D667D1">
      <w:pPr>
        <w:pStyle w:val="Default"/>
        <w:rPr>
          <w:sz w:val="22"/>
          <w:szCs w:val="22"/>
          <w:lang w:val="en-SG"/>
        </w:rPr>
      </w:pPr>
    </w:p>
    <w:p w14:paraId="4E57548F"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22516497"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374F8F61"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1D198F7F"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6F07471E"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06950074"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5B70270D"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71F64D13"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773249DA"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34F4BD3C"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1027B698" w14:textId="77777777" w:rsidR="00CC6EFD" w:rsidRPr="00C32F1F" w:rsidRDefault="00CC6EFD" w:rsidP="00AF5F2D">
      <w:pPr>
        <w:pStyle w:val="NormalWeb"/>
        <w:spacing w:before="0" w:beforeAutospacing="0" w:after="0" w:afterAutospacing="0"/>
        <w:jc w:val="right"/>
        <w:rPr>
          <w:rFonts w:ascii="Arial" w:hAnsi="Arial" w:cs="Arial"/>
          <w:i/>
          <w:iCs/>
          <w:sz w:val="22"/>
          <w:szCs w:val="22"/>
        </w:rPr>
      </w:pPr>
    </w:p>
    <w:p w14:paraId="73377EEB" w14:textId="5D6FBF05" w:rsidR="005E2E64" w:rsidRPr="00C32F1F" w:rsidRDefault="005E2E64" w:rsidP="00AF5F2D">
      <w:pPr>
        <w:pStyle w:val="NormalWeb"/>
        <w:spacing w:before="0" w:beforeAutospacing="0" w:after="0" w:afterAutospacing="0"/>
        <w:jc w:val="right"/>
        <w:rPr>
          <w:rFonts w:ascii="Arial" w:hAnsi="Arial" w:cs="Arial"/>
          <w:i/>
          <w:iCs/>
          <w:sz w:val="22"/>
          <w:szCs w:val="22"/>
        </w:rPr>
      </w:pPr>
    </w:p>
    <w:p w14:paraId="61B298A8" w14:textId="5DBDEED7" w:rsidR="005E2E64" w:rsidRPr="00C32F1F" w:rsidRDefault="005E2E64" w:rsidP="005E2E64">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 xml:space="preserve">Source: </w:t>
      </w:r>
      <w:proofErr w:type="spellStart"/>
      <w:r w:rsidRPr="00C32F1F">
        <w:rPr>
          <w:rFonts w:ascii="Arial" w:hAnsi="Arial" w:cs="Arial"/>
          <w:i/>
          <w:iCs/>
          <w:sz w:val="22"/>
          <w:szCs w:val="22"/>
        </w:rPr>
        <w:t>statista</w:t>
      </w:r>
      <w:proofErr w:type="spellEnd"/>
      <w:r w:rsidRPr="00C32F1F">
        <w:rPr>
          <w:rFonts w:ascii="Arial" w:hAnsi="Arial" w:cs="Arial"/>
          <w:i/>
          <w:iCs/>
          <w:sz w:val="22"/>
          <w:szCs w:val="22"/>
        </w:rPr>
        <w:t xml:space="preserve">, accessed 24 August 2020 </w:t>
      </w:r>
    </w:p>
    <w:p w14:paraId="1444330C" w14:textId="156D089C" w:rsidR="00AF5F2D" w:rsidRPr="00C32F1F" w:rsidRDefault="00AF5F2D" w:rsidP="00D667D1">
      <w:pPr>
        <w:pStyle w:val="Default"/>
        <w:rPr>
          <w:sz w:val="22"/>
          <w:szCs w:val="22"/>
          <w:lang w:val="en-SG"/>
        </w:rPr>
      </w:pPr>
    </w:p>
    <w:p w14:paraId="55C4B1E3" w14:textId="15736D78" w:rsidR="00CB5B49" w:rsidRPr="00C32F1F" w:rsidRDefault="00315A2C" w:rsidP="00F75140">
      <w:pPr>
        <w:shd w:val="clear" w:color="auto" w:fill="FFFFFF"/>
        <w:spacing w:after="0" w:line="240" w:lineRule="auto"/>
        <w:jc w:val="both"/>
        <w:rPr>
          <w:rFonts w:ascii="Arial" w:eastAsia="Times New Roman" w:hAnsi="Arial" w:cs="Arial"/>
          <w:b/>
          <w:bCs/>
          <w:color w:val="121212"/>
        </w:rPr>
      </w:pPr>
      <w:r w:rsidRPr="00C32F1F">
        <w:rPr>
          <w:rFonts w:ascii="Arial" w:eastAsia="Times New Roman" w:hAnsi="Arial" w:cs="Arial"/>
          <w:b/>
          <w:bCs/>
          <w:color w:val="121212"/>
        </w:rPr>
        <w:t xml:space="preserve">Extract </w:t>
      </w:r>
      <w:r w:rsidR="006A5DC9" w:rsidRPr="00C32F1F">
        <w:rPr>
          <w:rFonts w:ascii="Arial" w:eastAsia="Times New Roman" w:hAnsi="Arial" w:cs="Arial"/>
          <w:b/>
          <w:bCs/>
          <w:color w:val="121212"/>
        </w:rPr>
        <w:t>8</w:t>
      </w:r>
      <w:r w:rsidR="00CB5B49" w:rsidRPr="00C32F1F">
        <w:rPr>
          <w:rFonts w:ascii="Arial" w:eastAsia="Times New Roman" w:hAnsi="Arial" w:cs="Arial"/>
          <w:b/>
          <w:bCs/>
          <w:color w:val="121212"/>
        </w:rPr>
        <w:t>: Some individual cases</w:t>
      </w:r>
    </w:p>
    <w:p w14:paraId="63F16630" w14:textId="09E9158C" w:rsidR="00CB5B49" w:rsidRPr="00C32F1F" w:rsidRDefault="00CB5B49" w:rsidP="00F75140">
      <w:pPr>
        <w:shd w:val="clear" w:color="auto" w:fill="FFFFFF"/>
        <w:spacing w:after="0" w:line="240" w:lineRule="auto"/>
        <w:jc w:val="both"/>
        <w:rPr>
          <w:rFonts w:ascii="Arial" w:eastAsia="Times New Roman" w:hAnsi="Arial" w:cs="Arial"/>
          <w:b/>
          <w:bCs/>
          <w:color w:val="121212"/>
        </w:rPr>
      </w:pPr>
    </w:p>
    <w:p w14:paraId="22AD81D3" w14:textId="78FC9889" w:rsidR="00F75140" w:rsidRPr="00C32F1F" w:rsidRDefault="006A5DC9" w:rsidP="00F75140">
      <w:pPr>
        <w:shd w:val="clear" w:color="auto" w:fill="FFFFFF"/>
        <w:spacing w:after="0" w:line="240" w:lineRule="auto"/>
        <w:jc w:val="both"/>
        <w:rPr>
          <w:rFonts w:ascii="Arial" w:hAnsi="Arial" w:cs="Arial"/>
          <w:spacing w:val="-6"/>
        </w:rPr>
      </w:pPr>
      <w:r w:rsidRPr="00C32F1F">
        <w:rPr>
          <w:rFonts w:ascii="Arial" w:eastAsia="Times New Roman" w:hAnsi="Arial" w:cs="Arial"/>
          <w:bCs/>
          <w:color w:val="121212"/>
        </w:rPr>
        <w:t>8</w:t>
      </w:r>
      <w:r w:rsidR="00CB5B49" w:rsidRPr="00C32F1F">
        <w:rPr>
          <w:rFonts w:ascii="Arial" w:eastAsia="Times New Roman" w:hAnsi="Arial" w:cs="Arial"/>
          <w:bCs/>
          <w:color w:val="121212"/>
        </w:rPr>
        <w:t>.1</w:t>
      </w:r>
      <w:r w:rsidR="00B13D33" w:rsidRPr="00C32F1F">
        <w:rPr>
          <w:rFonts w:ascii="Arial" w:eastAsia="Times New Roman" w:hAnsi="Arial" w:cs="Arial"/>
          <w:bCs/>
          <w:color w:val="121212"/>
        </w:rPr>
        <w:t xml:space="preserve"> </w:t>
      </w:r>
      <w:r w:rsidR="00F75140" w:rsidRPr="00C32F1F">
        <w:rPr>
          <w:rFonts w:ascii="Arial" w:hAnsi="Arial" w:cs="Arial"/>
          <w:spacing w:val="-6"/>
        </w:rPr>
        <w:t xml:space="preserve">Indonesia </w:t>
      </w:r>
    </w:p>
    <w:p w14:paraId="27E36A8C" w14:textId="77777777" w:rsidR="00F75140" w:rsidRPr="00C32F1F" w:rsidRDefault="00F75140" w:rsidP="00F75140">
      <w:pPr>
        <w:shd w:val="clear" w:color="auto" w:fill="FFFFFF"/>
        <w:spacing w:after="0" w:line="240" w:lineRule="auto"/>
        <w:jc w:val="both"/>
        <w:rPr>
          <w:rFonts w:ascii="Arial" w:eastAsia="Times New Roman" w:hAnsi="Arial" w:cs="Arial"/>
          <w:b/>
          <w:bCs/>
          <w:color w:val="121212"/>
        </w:rPr>
      </w:pPr>
    </w:p>
    <w:p w14:paraId="62A14A9F" w14:textId="77777777" w:rsidR="00F75140" w:rsidRPr="00C32F1F" w:rsidRDefault="00F75140" w:rsidP="00F75140">
      <w:pPr>
        <w:shd w:val="clear" w:color="auto" w:fill="FFFFFF"/>
        <w:spacing w:after="0" w:line="240" w:lineRule="auto"/>
        <w:jc w:val="both"/>
        <w:rPr>
          <w:rFonts w:ascii="Arial" w:eastAsia="Times New Roman" w:hAnsi="Arial" w:cs="Arial"/>
          <w:b/>
          <w:bCs/>
          <w:color w:val="121212"/>
        </w:rPr>
      </w:pPr>
      <w:r w:rsidRPr="00C32F1F">
        <w:rPr>
          <w:rFonts w:ascii="Arial" w:eastAsia="Times New Roman" w:hAnsi="Arial" w:cs="Arial"/>
          <w:lang w:val="en-US" w:bidi="ar-SA"/>
        </w:rPr>
        <w:t>Indonesian President Joko Widodo proposed record government spending next year to drive the economy to its quickest projected growth in seven years, counting on stimulus and investment to overcome risks from a global slowdown and escalating trade war.</w:t>
      </w:r>
    </w:p>
    <w:p w14:paraId="332039F6" w14:textId="77777777" w:rsidR="00F75140" w:rsidRPr="00C32F1F" w:rsidRDefault="00F75140" w:rsidP="00F75140">
      <w:pPr>
        <w:shd w:val="clear" w:color="auto" w:fill="FFFFFF"/>
        <w:spacing w:after="0" w:line="240" w:lineRule="auto"/>
        <w:jc w:val="both"/>
        <w:rPr>
          <w:rFonts w:ascii="Arial" w:eastAsia="Times New Roman" w:hAnsi="Arial" w:cs="Arial"/>
          <w:b/>
          <w:bCs/>
          <w:color w:val="121212"/>
        </w:rPr>
      </w:pPr>
    </w:p>
    <w:p w14:paraId="6BFC51A4" w14:textId="21304BC3" w:rsidR="00F75140" w:rsidRPr="00C32F1F" w:rsidRDefault="003D74F3" w:rsidP="00F75140">
      <w:pPr>
        <w:shd w:val="clear" w:color="auto" w:fill="FFFFFF"/>
        <w:spacing w:after="0" w:line="240" w:lineRule="auto"/>
        <w:jc w:val="both"/>
        <w:rPr>
          <w:rFonts w:ascii="Arial" w:eastAsia="Times New Roman" w:hAnsi="Arial" w:cs="Arial"/>
          <w:b/>
          <w:bCs/>
          <w:color w:val="121212"/>
          <w:lang w:val="en-US"/>
        </w:rPr>
      </w:pPr>
      <w:r w:rsidRPr="00C32F1F">
        <w:rPr>
          <w:rFonts w:ascii="Arial" w:eastAsia="Times New Roman" w:hAnsi="Arial" w:cs="Arial"/>
          <w:lang w:val="en-US" w:bidi="ar-SA"/>
        </w:rPr>
        <w:t>At the same time, Widodo</w:t>
      </w:r>
      <w:r w:rsidR="00F75140" w:rsidRPr="00C32F1F">
        <w:rPr>
          <w:rFonts w:ascii="Arial" w:eastAsia="Times New Roman" w:hAnsi="Arial" w:cs="Arial"/>
          <w:lang w:val="en-US" w:bidi="ar-SA"/>
        </w:rPr>
        <w:t xml:space="preserve"> projected a smaller fiscal deficit of 1.76% of GDP, aiming to strike a delicate balance between stimulating the economy and keeping the deficit trim enough to attract foreign investment.</w:t>
      </w:r>
    </w:p>
    <w:p w14:paraId="5969B811" w14:textId="3703007F" w:rsidR="00C27B4F" w:rsidRPr="00C32F1F" w:rsidRDefault="00C27B4F" w:rsidP="00267C64">
      <w:pPr>
        <w:shd w:val="clear" w:color="auto" w:fill="FFFFFF"/>
        <w:spacing w:after="0" w:line="240" w:lineRule="auto"/>
        <w:jc w:val="both"/>
        <w:rPr>
          <w:rFonts w:ascii="Arial" w:eastAsia="Times New Roman" w:hAnsi="Arial" w:cs="Arial"/>
          <w:b/>
          <w:bCs/>
          <w:color w:val="121212"/>
        </w:rPr>
      </w:pPr>
    </w:p>
    <w:p w14:paraId="450C44E9" w14:textId="0366C203" w:rsidR="00B13D33" w:rsidRPr="00C32F1F" w:rsidRDefault="00B13D33" w:rsidP="00B13D33">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 xml:space="preserve">Source: </w:t>
      </w:r>
      <w:r w:rsidR="00F75140" w:rsidRPr="00C32F1F">
        <w:rPr>
          <w:rFonts w:ascii="Arial" w:hAnsi="Arial" w:cs="Arial"/>
          <w:i/>
          <w:iCs/>
          <w:sz w:val="22"/>
          <w:szCs w:val="22"/>
        </w:rPr>
        <w:t>Bloomberg, 16</w:t>
      </w:r>
      <w:r w:rsidR="004F441A" w:rsidRPr="00C32F1F">
        <w:rPr>
          <w:rFonts w:ascii="Arial" w:hAnsi="Arial" w:cs="Arial"/>
          <w:i/>
          <w:iCs/>
          <w:sz w:val="22"/>
          <w:szCs w:val="22"/>
        </w:rPr>
        <w:t xml:space="preserve"> </w:t>
      </w:r>
      <w:r w:rsidR="00F75140" w:rsidRPr="00C32F1F">
        <w:rPr>
          <w:rFonts w:ascii="Arial" w:hAnsi="Arial" w:cs="Arial"/>
          <w:i/>
          <w:iCs/>
          <w:sz w:val="22"/>
          <w:szCs w:val="22"/>
        </w:rPr>
        <w:t>August</w:t>
      </w:r>
      <w:r w:rsidR="004F441A" w:rsidRPr="00C32F1F">
        <w:rPr>
          <w:rFonts w:ascii="Arial" w:hAnsi="Arial" w:cs="Arial"/>
          <w:i/>
          <w:iCs/>
          <w:sz w:val="22"/>
          <w:szCs w:val="22"/>
        </w:rPr>
        <w:t xml:space="preserve"> 2019 </w:t>
      </w:r>
    </w:p>
    <w:p w14:paraId="2CB85BA0" w14:textId="0E11A516" w:rsidR="00DA1B57" w:rsidRPr="00C32F1F" w:rsidRDefault="006A5DC9" w:rsidP="00A74246">
      <w:pPr>
        <w:shd w:val="clear" w:color="auto" w:fill="FFFFFF"/>
        <w:spacing w:after="0" w:line="240" w:lineRule="auto"/>
        <w:jc w:val="both"/>
        <w:rPr>
          <w:rFonts w:ascii="Arial" w:eastAsia="Times New Roman" w:hAnsi="Arial" w:cs="Arial"/>
          <w:color w:val="121212"/>
        </w:rPr>
      </w:pPr>
      <w:r w:rsidRPr="00C32F1F">
        <w:rPr>
          <w:rFonts w:ascii="Arial" w:eastAsia="Times New Roman" w:hAnsi="Arial" w:cs="Arial"/>
          <w:color w:val="121212"/>
        </w:rPr>
        <w:t>8</w:t>
      </w:r>
      <w:r w:rsidR="00CB5B49" w:rsidRPr="00C32F1F">
        <w:rPr>
          <w:rFonts w:ascii="Arial" w:eastAsia="Times New Roman" w:hAnsi="Arial" w:cs="Arial"/>
          <w:color w:val="121212"/>
        </w:rPr>
        <w:t>.2 Vietnam</w:t>
      </w:r>
    </w:p>
    <w:p w14:paraId="539AA660" w14:textId="77777777" w:rsidR="00CB5B49" w:rsidRPr="00C32F1F" w:rsidRDefault="00CB5B49" w:rsidP="00A74246">
      <w:pPr>
        <w:shd w:val="clear" w:color="auto" w:fill="FFFFFF"/>
        <w:spacing w:after="0" w:line="240" w:lineRule="auto"/>
        <w:jc w:val="both"/>
        <w:rPr>
          <w:rFonts w:ascii="Arial" w:eastAsia="Times New Roman" w:hAnsi="Arial" w:cs="Arial"/>
          <w:color w:val="121212"/>
        </w:rPr>
      </w:pPr>
    </w:p>
    <w:p w14:paraId="7FF51458" w14:textId="05D5B23A" w:rsidR="00CB5B49" w:rsidRPr="00C32F1F" w:rsidRDefault="00CB5B49" w:rsidP="00CB5B49">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C32F1F">
        <w:rPr>
          <w:rFonts w:ascii="Arial" w:hAnsi="Arial" w:cs="Arial"/>
          <w:color w:val="000000"/>
          <w:sz w:val="22"/>
          <w:szCs w:val="22"/>
        </w:rPr>
        <w:t>Southeast Asia’s growth star has to guard against some new risks. Vietnam</w:t>
      </w:r>
      <w:r w:rsidR="00267C64" w:rsidRPr="00C32F1F">
        <w:rPr>
          <w:rFonts w:ascii="Arial" w:hAnsi="Arial" w:cs="Arial"/>
          <w:color w:val="000000"/>
          <w:sz w:val="22"/>
          <w:szCs w:val="22"/>
        </w:rPr>
        <w:t xml:space="preserve"> scored a</w:t>
      </w:r>
      <w:r w:rsidRPr="00C32F1F">
        <w:rPr>
          <w:rFonts w:ascii="Arial" w:hAnsi="Arial" w:cs="Arial"/>
          <w:color w:val="000000"/>
          <w:sz w:val="22"/>
          <w:szCs w:val="22"/>
        </w:rPr>
        <w:t xml:space="preserve"> sovereign ratings</w:t>
      </w:r>
      <w:r w:rsidR="00903240" w:rsidRPr="00C32F1F">
        <w:rPr>
          <w:rFonts w:ascii="Arial" w:hAnsi="Arial" w:cs="Arial"/>
          <w:color w:val="000000"/>
          <w:sz w:val="22"/>
          <w:szCs w:val="22"/>
          <w:vertAlign w:val="superscript"/>
        </w:rPr>
        <w:t>2</w:t>
      </w:r>
      <w:r w:rsidRPr="00C32F1F">
        <w:rPr>
          <w:rFonts w:ascii="Arial" w:hAnsi="Arial" w:cs="Arial"/>
          <w:color w:val="000000"/>
          <w:sz w:val="22"/>
          <w:szCs w:val="22"/>
        </w:rPr>
        <w:t xml:space="preserve"> upgrade because of a build-up of foreign reserves and stronger growth, but the fiscal outlook is a worry.</w:t>
      </w:r>
      <w:r w:rsidR="00267C64" w:rsidRPr="00C32F1F">
        <w:rPr>
          <w:rFonts w:ascii="Arial" w:hAnsi="Arial" w:cs="Arial"/>
          <w:color w:val="000000"/>
          <w:sz w:val="22"/>
          <w:szCs w:val="22"/>
        </w:rPr>
        <w:t xml:space="preserve"> </w:t>
      </w:r>
      <w:r w:rsidR="008230DA" w:rsidRPr="00C32F1F">
        <w:rPr>
          <w:rFonts w:ascii="Arial" w:hAnsi="Arial" w:cs="Arial"/>
          <w:color w:val="000000"/>
          <w:sz w:val="22"/>
          <w:szCs w:val="22"/>
        </w:rPr>
        <w:t>E</w:t>
      </w:r>
      <w:r w:rsidRPr="00C32F1F">
        <w:rPr>
          <w:rFonts w:ascii="Arial" w:hAnsi="Arial" w:cs="Arial"/>
          <w:color w:val="000000"/>
          <w:sz w:val="22"/>
          <w:szCs w:val="22"/>
        </w:rPr>
        <w:t>stimates</w:t>
      </w:r>
      <w:r w:rsidR="008230DA" w:rsidRPr="00C32F1F">
        <w:rPr>
          <w:rFonts w:ascii="Arial" w:hAnsi="Arial" w:cs="Arial"/>
          <w:color w:val="000000"/>
          <w:sz w:val="22"/>
          <w:szCs w:val="22"/>
        </w:rPr>
        <w:t xml:space="preserve"> indicate</w:t>
      </w:r>
      <w:r w:rsidRPr="00C32F1F">
        <w:rPr>
          <w:rFonts w:ascii="Arial" w:hAnsi="Arial" w:cs="Arial"/>
          <w:color w:val="000000"/>
          <w:sz w:val="22"/>
          <w:szCs w:val="22"/>
        </w:rPr>
        <w:t xml:space="preserve"> a budget deficit of about 4.6 percent of GDP in 2018, which is higher than the government’s own target of 3.7 percent. Vietnam needs to focus on</w:t>
      </w:r>
      <w:r w:rsidR="00267C64" w:rsidRPr="00C32F1F">
        <w:rPr>
          <w:rFonts w:ascii="Arial" w:hAnsi="Arial" w:cs="Arial"/>
          <w:color w:val="000000"/>
          <w:sz w:val="22"/>
          <w:szCs w:val="22"/>
        </w:rPr>
        <w:t xml:space="preserve"> stability </w:t>
      </w:r>
      <w:r w:rsidRPr="00C32F1F">
        <w:rPr>
          <w:rFonts w:ascii="Arial" w:hAnsi="Arial" w:cs="Arial"/>
          <w:color w:val="000000"/>
          <w:sz w:val="22"/>
          <w:szCs w:val="22"/>
        </w:rPr>
        <w:t>and structural reforms rather than rapid growth in order to</w:t>
      </w:r>
      <w:r w:rsidR="001B3E71" w:rsidRPr="00C32F1F">
        <w:rPr>
          <w:rFonts w:ascii="Arial" w:hAnsi="Arial" w:cs="Arial"/>
          <w:color w:val="000000"/>
          <w:sz w:val="22"/>
          <w:szCs w:val="22"/>
        </w:rPr>
        <w:t xml:space="preserve"> avoid a downgrade of its credit rating, failing which would increase the cost of borrowing for the Vietnamese government</w:t>
      </w:r>
      <w:r w:rsidRPr="00C32F1F">
        <w:rPr>
          <w:rFonts w:ascii="Arial" w:hAnsi="Arial" w:cs="Arial"/>
          <w:color w:val="000000"/>
          <w:sz w:val="22"/>
          <w:szCs w:val="22"/>
        </w:rPr>
        <w:t>.</w:t>
      </w:r>
    </w:p>
    <w:p w14:paraId="401FA27B" w14:textId="1A0B33AD" w:rsidR="00DB7D27" w:rsidRPr="00C32F1F" w:rsidRDefault="00DB7D27" w:rsidP="00CB5B49">
      <w:pPr>
        <w:pStyle w:val="NormalWeb"/>
        <w:shd w:val="clear" w:color="auto" w:fill="FFFFFF"/>
        <w:spacing w:before="0" w:beforeAutospacing="0" w:after="0" w:afterAutospacing="0"/>
        <w:jc w:val="both"/>
        <w:textAlignment w:val="baseline"/>
        <w:rPr>
          <w:rFonts w:ascii="Arial" w:hAnsi="Arial" w:cs="Arial"/>
          <w:color w:val="000000"/>
          <w:sz w:val="22"/>
          <w:szCs w:val="22"/>
        </w:rPr>
      </w:pPr>
    </w:p>
    <w:p w14:paraId="349103DB" w14:textId="43A008EA" w:rsidR="00CB5B49" w:rsidRPr="00C32F1F" w:rsidRDefault="00CB5B49" w:rsidP="00CB5B49">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 xml:space="preserve">Source: Bloomberg, 25 July 2018 </w:t>
      </w:r>
    </w:p>
    <w:p w14:paraId="7C9A0D1C" w14:textId="77777777" w:rsidR="005D03B3" w:rsidRPr="00C32F1F" w:rsidRDefault="005D03B3" w:rsidP="00A74246">
      <w:pPr>
        <w:shd w:val="clear" w:color="auto" w:fill="FFFFFF"/>
        <w:spacing w:after="0" w:line="240" w:lineRule="auto"/>
        <w:jc w:val="both"/>
        <w:rPr>
          <w:rFonts w:ascii="Arial" w:hAnsi="Arial" w:cs="Arial"/>
          <w:color w:val="111111"/>
          <w:shd w:val="clear" w:color="auto" w:fill="FFFFFF"/>
        </w:rPr>
      </w:pPr>
    </w:p>
    <w:p w14:paraId="1C0FEE90" w14:textId="35F45560" w:rsidR="005D03B3" w:rsidRPr="00C32F1F" w:rsidRDefault="00903240" w:rsidP="00A74246">
      <w:pPr>
        <w:shd w:val="clear" w:color="auto" w:fill="FFFFFF"/>
        <w:spacing w:after="0" w:line="240" w:lineRule="auto"/>
        <w:jc w:val="both"/>
        <w:rPr>
          <w:rFonts w:ascii="Arial" w:hAnsi="Arial" w:cs="Arial"/>
          <w:color w:val="111111"/>
          <w:sz w:val="20"/>
          <w:shd w:val="clear" w:color="auto" w:fill="FFFFFF"/>
        </w:rPr>
      </w:pPr>
      <w:r w:rsidRPr="00C32F1F">
        <w:rPr>
          <w:rFonts w:ascii="Arial" w:hAnsi="Arial" w:cs="Arial"/>
          <w:color w:val="111111"/>
          <w:sz w:val="20"/>
          <w:shd w:val="clear" w:color="auto" w:fill="FFFFFF"/>
        </w:rPr>
        <w:t>Notes</w:t>
      </w:r>
      <w:r w:rsidR="005D03B3" w:rsidRPr="00C32F1F">
        <w:rPr>
          <w:rFonts w:ascii="Arial" w:hAnsi="Arial" w:cs="Arial"/>
          <w:color w:val="111111"/>
          <w:sz w:val="20"/>
          <w:shd w:val="clear" w:color="auto" w:fill="FFFFFF"/>
        </w:rPr>
        <w:t xml:space="preserve">: </w:t>
      </w:r>
    </w:p>
    <w:p w14:paraId="01539255" w14:textId="280B9024" w:rsidR="00947085" w:rsidRPr="00C32F1F" w:rsidRDefault="005D03B3" w:rsidP="005F169A">
      <w:pPr>
        <w:pStyle w:val="ListParagraph"/>
        <w:numPr>
          <w:ilvl w:val="0"/>
          <w:numId w:val="6"/>
        </w:numPr>
        <w:shd w:val="clear" w:color="auto" w:fill="FFFFFF"/>
        <w:spacing w:after="0" w:line="240" w:lineRule="auto"/>
        <w:jc w:val="both"/>
        <w:rPr>
          <w:rFonts w:ascii="Arial" w:eastAsia="Times New Roman" w:hAnsi="Arial" w:cs="Arial"/>
          <w:b/>
          <w:bCs/>
          <w:color w:val="121212"/>
          <w:sz w:val="20"/>
        </w:rPr>
      </w:pPr>
      <w:r w:rsidRPr="00C32F1F">
        <w:rPr>
          <w:rFonts w:ascii="Arial" w:hAnsi="Arial" w:cs="Arial"/>
          <w:color w:val="111111"/>
          <w:sz w:val="20"/>
          <w:shd w:val="clear" w:color="auto" w:fill="FFFFFF"/>
        </w:rPr>
        <w:t>A sovereign credit rating is an independent assessment of the creditworthiness of a country. Sovereign credit ratings can give investors insights into the level of risk associated with investing in a particular country, including any political risk.</w:t>
      </w:r>
    </w:p>
    <w:p w14:paraId="5EA576CA" w14:textId="6E763D9A" w:rsidR="00E34EEF" w:rsidRPr="00C32F1F" w:rsidRDefault="00E34EEF" w:rsidP="00E34EEF">
      <w:pPr>
        <w:shd w:val="clear" w:color="auto" w:fill="FFFFFF"/>
        <w:spacing w:after="0" w:line="240" w:lineRule="auto"/>
        <w:jc w:val="both"/>
        <w:rPr>
          <w:rFonts w:ascii="Arial" w:eastAsia="Times New Roman" w:hAnsi="Arial" w:cs="Arial"/>
          <w:b/>
          <w:bCs/>
          <w:color w:val="121212"/>
        </w:rPr>
      </w:pPr>
    </w:p>
    <w:p w14:paraId="49263582" w14:textId="3DBF0EC5" w:rsidR="003767E0" w:rsidRPr="00C32F1F" w:rsidRDefault="003767E0" w:rsidP="00E34EEF">
      <w:pPr>
        <w:shd w:val="clear" w:color="auto" w:fill="FFFFFF"/>
        <w:spacing w:after="0" w:line="240" w:lineRule="auto"/>
        <w:jc w:val="both"/>
        <w:rPr>
          <w:rFonts w:ascii="Arial" w:eastAsia="Times New Roman" w:hAnsi="Arial" w:cs="Arial"/>
          <w:b/>
          <w:bCs/>
          <w:color w:val="121212"/>
        </w:rPr>
      </w:pPr>
    </w:p>
    <w:p w14:paraId="65A66EF6" w14:textId="1ED377A4" w:rsidR="008230DA" w:rsidRPr="00C32F1F" w:rsidRDefault="008230DA" w:rsidP="00E34EEF">
      <w:pPr>
        <w:shd w:val="clear" w:color="auto" w:fill="FFFFFF"/>
        <w:spacing w:after="0" w:line="240" w:lineRule="auto"/>
        <w:jc w:val="both"/>
        <w:rPr>
          <w:rFonts w:ascii="Arial" w:eastAsia="Times New Roman" w:hAnsi="Arial" w:cs="Arial"/>
          <w:b/>
          <w:bCs/>
          <w:color w:val="121212"/>
        </w:rPr>
      </w:pPr>
    </w:p>
    <w:p w14:paraId="31A18427" w14:textId="38298FE6" w:rsidR="008230DA" w:rsidRPr="00C32F1F" w:rsidRDefault="008230DA" w:rsidP="00E34EEF">
      <w:pPr>
        <w:shd w:val="clear" w:color="auto" w:fill="FFFFFF"/>
        <w:spacing w:after="0" w:line="240" w:lineRule="auto"/>
        <w:jc w:val="both"/>
        <w:rPr>
          <w:rFonts w:ascii="Arial" w:eastAsia="Times New Roman" w:hAnsi="Arial" w:cs="Arial"/>
          <w:b/>
          <w:bCs/>
          <w:color w:val="121212"/>
        </w:rPr>
      </w:pPr>
    </w:p>
    <w:p w14:paraId="2D824598" w14:textId="2F9BECA5" w:rsidR="008230DA" w:rsidRPr="00C32F1F" w:rsidRDefault="008230DA" w:rsidP="00E34EEF">
      <w:pPr>
        <w:shd w:val="clear" w:color="auto" w:fill="FFFFFF"/>
        <w:spacing w:after="0" w:line="240" w:lineRule="auto"/>
        <w:jc w:val="both"/>
        <w:rPr>
          <w:rFonts w:ascii="Arial" w:eastAsia="Times New Roman" w:hAnsi="Arial" w:cs="Arial"/>
          <w:b/>
          <w:bCs/>
          <w:color w:val="121212"/>
        </w:rPr>
      </w:pPr>
    </w:p>
    <w:p w14:paraId="0BD254A7" w14:textId="77777777" w:rsidR="009779F2" w:rsidRPr="00C32F1F" w:rsidRDefault="009779F2" w:rsidP="00E34EEF">
      <w:pPr>
        <w:shd w:val="clear" w:color="auto" w:fill="FFFFFF"/>
        <w:spacing w:after="0" w:line="240" w:lineRule="auto"/>
        <w:jc w:val="both"/>
        <w:rPr>
          <w:rFonts w:ascii="Arial" w:eastAsia="Times New Roman" w:hAnsi="Arial" w:cs="Arial"/>
          <w:b/>
          <w:bCs/>
          <w:color w:val="121212"/>
        </w:rPr>
      </w:pPr>
    </w:p>
    <w:p w14:paraId="4A30AFBD" w14:textId="351498AA" w:rsidR="00267C64" w:rsidRPr="00C32F1F" w:rsidRDefault="006A5DC9" w:rsidP="008B6796">
      <w:pPr>
        <w:shd w:val="clear" w:color="auto" w:fill="FFFFFF"/>
        <w:spacing w:after="0" w:line="240" w:lineRule="auto"/>
        <w:jc w:val="both"/>
        <w:rPr>
          <w:rFonts w:ascii="Arial" w:eastAsia="Times New Roman" w:hAnsi="Arial" w:cs="Arial"/>
          <w:color w:val="121212"/>
        </w:rPr>
      </w:pPr>
      <w:r w:rsidRPr="00C32F1F">
        <w:rPr>
          <w:rFonts w:ascii="Arial" w:eastAsia="Times New Roman" w:hAnsi="Arial" w:cs="Arial"/>
          <w:color w:val="121212"/>
        </w:rPr>
        <w:lastRenderedPageBreak/>
        <w:t>8</w:t>
      </w:r>
      <w:r w:rsidR="00267C64" w:rsidRPr="00C32F1F">
        <w:rPr>
          <w:rFonts w:ascii="Arial" w:eastAsia="Times New Roman" w:hAnsi="Arial" w:cs="Arial"/>
          <w:color w:val="121212"/>
        </w:rPr>
        <w:t xml:space="preserve">.3 Philippines </w:t>
      </w:r>
    </w:p>
    <w:p w14:paraId="365589B9" w14:textId="77777777" w:rsidR="00267C64" w:rsidRPr="00C32F1F" w:rsidRDefault="00267C64" w:rsidP="008B6796">
      <w:pPr>
        <w:shd w:val="clear" w:color="auto" w:fill="FFFFFF"/>
        <w:spacing w:after="0" w:line="240" w:lineRule="auto"/>
        <w:jc w:val="both"/>
        <w:rPr>
          <w:rFonts w:ascii="Arial" w:eastAsia="Times New Roman" w:hAnsi="Arial" w:cs="Arial"/>
          <w:color w:val="121212"/>
        </w:rPr>
      </w:pPr>
    </w:p>
    <w:p w14:paraId="378C4206" w14:textId="6BD23B16" w:rsidR="00267C64" w:rsidRPr="00C32F1F" w:rsidRDefault="00267C64" w:rsidP="008B6796">
      <w:pPr>
        <w:shd w:val="clear" w:color="auto" w:fill="FFFFFF"/>
        <w:spacing w:after="0" w:line="240" w:lineRule="auto"/>
        <w:jc w:val="both"/>
        <w:rPr>
          <w:rFonts w:ascii="Arial" w:hAnsi="Arial" w:cs="Arial"/>
        </w:rPr>
      </w:pPr>
      <w:r w:rsidRPr="00C32F1F">
        <w:rPr>
          <w:rFonts w:ascii="Arial" w:hAnsi="Arial" w:cs="Arial"/>
        </w:rPr>
        <w:t xml:space="preserve">President Rodrigo Duterte’s “Build, Build, </w:t>
      </w:r>
      <w:proofErr w:type="gramStart"/>
      <w:r w:rsidRPr="00C32F1F">
        <w:rPr>
          <w:rFonts w:ascii="Arial" w:hAnsi="Arial" w:cs="Arial"/>
        </w:rPr>
        <w:t>Build</w:t>
      </w:r>
      <w:proofErr w:type="gramEnd"/>
      <w:r w:rsidRPr="00C32F1F">
        <w:rPr>
          <w:rFonts w:ascii="Arial" w:hAnsi="Arial" w:cs="Arial"/>
        </w:rPr>
        <w:t>” program</w:t>
      </w:r>
      <w:r w:rsidR="00260D08" w:rsidRPr="00C32F1F">
        <w:rPr>
          <w:rFonts w:ascii="Arial" w:hAnsi="Arial" w:cs="Arial"/>
        </w:rPr>
        <w:t>me</w:t>
      </w:r>
      <w:r w:rsidRPr="00C32F1F">
        <w:rPr>
          <w:rFonts w:ascii="Arial" w:hAnsi="Arial" w:cs="Arial"/>
        </w:rPr>
        <w:t xml:space="preserve"> is producing too many bills, bills, bills, by some analysts’ estimates. While the ambitious infrastructure plan is </w:t>
      </w:r>
      <w:r w:rsidR="00D95612" w:rsidRPr="00C32F1F">
        <w:rPr>
          <w:rFonts w:ascii="Arial" w:hAnsi="Arial" w:cs="Arial"/>
        </w:rPr>
        <w:t>much needed</w:t>
      </w:r>
      <w:r w:rsidRPr="00C32F1F">
        <w:rPr>
          <w:rFonts w:ascii="Arial" w:hAnsi="Arial" w:cs="Arial"/>
        </w:rPr>
        <w:t xml:space="preserve"> to upgrade a</w:t>
      </w:r>
      <w:r w:rsidR="00957065" w:rsidRPr="00C32F1F">
        <w:rPr>
          <w:rFonts w:ascii="Arial" w:hAnsi="Arial" w:cs="Arial"/>
        </w:rPr>
        <w:t>irports, roads and railways, it ha</w:t>
      </w:r>
      <w:r w:rsidRPr="00C32F1F">
        <w:rPr>
          <w:rFonts w:ascii="Arial" w:hAnsi="Arial" w:cs="Arial"/>
        </w:rPr>
        <w:t>s also put pressure on the budget. The proposed borrowing plan for next year is 19 percent higher than this year’s program</w:t>
      </w:r>
      <w:r w:rsidR="00D32747" w:rsidRPr="00C32F1F">
        <w:rPr>
          <w:rFonts w:ascii="Arial" w:hAnsi="Arial" w:cs="Arial"/>
        </w:rPr>
        <w:t>me</w:t>
      </w:r>
      <w:r w:rsidRPr="00C32F1F">
        <w:rPr>
          <w:rFonts w:ascii="Arial" w:hAnsi="Arial" w:cs="Arial"/>
        </w:rPr>
        <w:t>.</w:t>
      </w:r>
      <w:r w:rsidR="00FF4AEF" w:rsidRPr="00C32F1F">
        <w:rPr>
          <w:rFonts w:ascii="Arial" w:hAnsi="Arial" w:cs="Arial"/>
        </w:rPr>
        <w:t xml:space="preserve"> A less rosy growth picture also means tax revenues may come in below targets, threatening budget goals. The result is more borrowing at a time when interest rates are rising, putting additional strain on government finances.</w:t>
      </w:r>
    </w:p>
    <w:p w14:paraId="7DC36B4F" w14:textId="77777777" w:rsidR="00267C64" w:rsidRPr="00C32F1F" w:rsidRDefault="00267C64" w:rsidP="008B6796">
      <w:pPr>
        <w:shd w:val="clear" w:color="auto" w:fill="FFFFFF"/>
        <w:spacing w:after="0" w:line="240" w:lineRule="auto"/>
        <w:jc w:val="both"/>
        <w:rPr>
          <w:rFonts w:ascii="Arial" w:eastAsia="Times New Roman" w:hAnsi="Arial" w:cs="Arial"/>
          <w:color w:val="121212"/>
        </w:rPr>
      </w:pPr>
    </w:p>
    <w:p w14:paraId="35911013" w14:textId="77777777" w:rsidR="00267C64" w:rsidRPr="00C32F1F" w:rsidRDefault="00267C64" w:rsidP="008B679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 xml:space="preserve">Source: Bloomberg, 25 July 2018 </w:t>
      </w:r>
    </w:p>
    <w:p w14:paraId="709A0B81" w14:textId="500937E5" w:rsidR="00224875" w:rsidRPr="00C32F1F" w:rsidRDefault="00224875" w:rsidP="008B6796">
      <w:pPr>
        <w:shd w:val="clear" w:color="auto" w:fill="FFFFFF"/>
        <w:spacing w:after="0" w:line="240" w:lineRule="auto"/>
        <w:jc w:val="both"/>
        <w:rPr>
          <w:rFonts w:ascii="Arial" w:eastAsia="Times New Roman" w:hAnsi="Arial" w:cs="Arial"/>
          <w:b/>
          <w:bCs/>
          <w:color w:val="121212"/>
        </w:rPr>
      </w:pPr>
    </w:p>
    <w:p w14:paraId="5DF71C48" w14:textId="0B8FA3D2" w:rsidR="006A17FE" w:rsidRPr="00C32F1F" w:rsidRDefault="00DB7D27" w:rsidP="008B6796">
      <w:pPr>
        <w:shd w:val="clear" w:color="auto" w:fill="FFFFFF"/>
        <w:spacing w:after="0" w:line="240" w:lineRule="auto"/>
        <w:jc w:val="both"/>
        <w:rPr>
          <w:rFonts w:ascii="Arial" w:hAnsi="Arial" w:cs="Arial"/>
          <w:b/>
          <w:spacing w:val="-6"/>
        </w:rPr>
      </w:pPr>
      <w:r w:rsidRPr="00C32F1F">
        <w:rPr>
          <w:rFonts w:ascii="Arial" w:eastAsia="Times New Roman" w:hAnsi="Arial" w:cs="Arial"/>
          <w:b/>
          <w:bCs/>
          <w:color w:val="121212"/>
        </w:rPr>
        <w:t>Extract</w:t>
      </w:r>
      <w:r w:rsidR="006A5DC9" w:rsidRPr="00C32F1F">
        <w:rPr>
          <w:rFonts w:ascii="Arial" w:eastAsia="Times New Roman" w:hAnsi="Arial" w:cs="Arial"/>
          <w:b/>
          <w:bCs/>
          <w:color w:val="121212"/>
        </w:rPr>
        <w:t xml:space="preserve"> 9</w:t>
      </w:r>
      <w:r w:rsidR="006A17FE" w:rsidRPr="00C32F1F">
        <w:rPr>
          <w:rFonts w:ascii="Arial" w:eastAsia="Times New Roman" w:hAnsi="Arial" w:cs="Arial"/>
          <w:b/>
          <w:bCs/>
          <w:color w:val="121212"/>
        </w:rPr>
        <w:t xml:space="preserve">: </w:t>
      </w:r>
      <w:r w:rsidR="006766D8" w:rsidRPr="00C32F1F">
        <w:rPr>
          <w:rFonts w:ascii="Arial" w:hAnsi="Arial" w:cs="Arial"/>
          <w:b/>
          <w:spacing w:val="-6"/>
        </w:rPr>
        <w:t>The</w:t>
      </w:r>
      <w:r w:rsidR="001B3E71" w:rsidRPr="00C32F1F">
        <w:rPr>
          <w:rFonts w:ascii="Arial" w:hAnsi="Arial" w:cs="Arial"/>
          <w:b/>
          <w:spacing w:val="-6"/>
        </w:rPr>
        <w:t xml:space="preserve"> </w:t>
      </w:r>
      <w:r w:rsidR="006766D8" w:rsidRPr="00C32F1F">
        <w:rPr>
          <w:rFonts w:ascii="Arial" w:hAnsi="Arial" w:cs="Arial"/>
          <w:b/>
          <w:spacing w:val="-6"/>
        </w:rPr>
        <w:t>artificial intelligence factor</w:t>
      </w:r>
    </w:p>
    <w:p w14:paraId="43589128" w14:textId="77777777" w:rsidR="006B5470" w:rsidRPr="00C32F1F" w:rsidRDefault="006B5470" w:rsidP="008B6796">
      <w:pPr>
        <w:shd w:val="clear" w:color="auto" w:fill="FFFFFF"/>
        <w:spacing w:after="0" w:line="240" w:lineRule="auto"/>
        <w:jc w:val="both"/>
        <w:rPr>
          <w:rFonts w:ascii="Arial" w:hAnsi="Arial" w:cs="Arial"/>
          <w:b/>
          <w:spacing w:val="-6"/>
        </w:rPr>
      </w:pPr>
    </w:p>
    <w:p w14:paraId="77A14F69" w14:textId="2712E8EF" w:rsidR="006B5470" w:rsidRPr="00C32F1F" w:rsidRDefault="006B5470" w:rsidP="008B6796">
      <w:pPr>
        <w:shd w:val="clear" w:color="auto" w:fill="FFFFFF"/>
        <w:spacing w:after="0" w:line="240" w:lineRule="auto"/>
        <w:jc w:val="both"/>
        <w:rPr>
          <w:rFonts w:ascii="Arial" w:hAnsi="Arial" w:cs="Arial"/>
          <w:b/>
          <w:spacing w:val="-6"/>
        </w:rPr>
      </w:pPr>
      <w:r w:rsidRPr="00C32F1F">
        <w:rPr>
          <w:rFonts w:ascii="Arial" w:eastAsia="Times New Roman" w:hAnsi="Arial" w:cs="Arial"/>
          <w:color w:val="141414"/>
          <w:lang w:val="en-US" w:bidi="ar-SA"/>
        </w:rPr>
        <w:t>The adoption of technology has been one of the biggest drivers of ASEAN’s growth in recent years. Businesses across the region have pushed the frontiers with technology adoption, which has improved productivity, created entirely new industries and made geographical borders redundant to new, open markets. The capabilities of technology will expand at an even faster pace over the next decade, and its prices will fall even further. This will boost its adoption and open up even greater growth opportunities.</w:t>
      </w:r>
      <w:r w:rsidRPr="00C32F1F">
        <w:rPr>
          <w:rFonts w:ascii="Helvetica" w:hAnsi="Helvetica"/>
          <w:color w:val="141414"/>
        </w:rPr>
        <w:t xml:space="preserve"> </w:t>
      </w:r>
      <w:r w:rsidRPr="00C32F1F">
        <w:rPr>
          <w:rFonts w:ascii="Arial" w:hAnsi="Arial" w:cs="Arial"/>
          <w:color w:val="141414"/>
          <w:lang w:val="en-US" w:bidi="ar-SA"/>
        </w:rPr>
        <w:t xml:space="preserve">Its impact on jobs, though, is likely to be very different than we have seen in the past decade. That is because the biggest improvements in technology will come on the artificial intelligence (AI) front. AI-enabled technologies will deliver substantial productivity gains across all sectors, resulting in major benefits for businesses and prosperity for the region. </w:t>
      </w:r>
      <w:r w:rsidRPr="00C32F1F">
        <w:rPr>
          <w:rFonts w:ascii="Arial" w:eastAsia="Times New Roman" w:hAnsi="Arial" w:cs="Arial"/>
          <w:color w:val="141414"/>
          <w:lang w:val="en-US" w:bidi="ar-SA"/>
        </w:rPr>
        <w:t xml:space="preserve">However, this will have a significant impact on the </w:t>
      </w:r>
      <w:proofErr w:type="spellStart"/>
      <w:r w:rsidRPr="00C32F1F">
        <w:rPr>
          <w:rFonts w:ascii="Arial" w:eastAsia="Times New Roman" w:hAnsi="Arial" w:cs="Arial"/>
          <w:color w:val="141414"/>
          <w:lang w:val="en-US" w:bidi="ar-SA"/>
        </w:rPr>
        <w:t>labour</w:t>
      </w:r>
      <w:proofErr w:type="spellEnd"/>
      <w:r w:rsidRPr="00C32F1F">
        <w:rPr>
          <w:rFonts w:ascii="Arial" w:eastAsia="Times New Roman" w:hAnsi="Arial" w:cs="Arial"/>
          <w:color w:val="141414"/>
          <w:lang w:val="en-US" w:bidi="ar-SA"/>
        </w:rPr>
        <w:t xml:space="preserve"> market. AI will make many skillsets and job profiles redundant. This will bring about major changes, as workers will need to forge new career paths or face unemployment. The scale of the challenge is enormous.</w:t>
      </w:r>
    </w:p>
    <w:p w14:paraId="027075A5" w14:textId="77777777" w:rsidR="006B5470" w:rsidRPr="00C32F1F" w:rsidRDefault="006B5470" w:rsidP="008B6796">
      <w:pPr>
        <w:spacing w:after="0" w:line="240" w:lineRule="auto"/>
        <w:jc w:val="both"/>
        <w:rPr>
          <w:rFonts w:ascii="Arial" w:eastAsia="Times New Roman" w:hAnsi="Arial" w:cs="Arial"/>
          <w:color w:val="auto"/>
          <w:lang w:val="en-US" w:bidi="ar-SA"/>
        </w:rPr>
      </w:pPr>
    </w:p>
    <w:p w14:paraId="2F5DF037" w14:textId="77777777" w:rsidR="006B5470" w:rsidRPr="00C32F1F" w:rsidRDefault="006B5470" w:rsidP="008B679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Source: World Economic Forum, 18 September 2018</w:t>
      </w:r>
    </w:p>
    <w:p w14:paraId="181CA94F" w14:textId="77777777" w:rsidR="006B5470" w:rsidRPr="00C32F1F" w:rsidRDefault="006B5470" w:rsidP="008B6796">
      <w:pPr>
        <w:shd w:val="clear" w:color="auto" w:fill="FFFFFF"/>
        <w:spacing w:after="0" w:line="240" w:lineRule="auto"/>
        <w:ind w:right="-46"/>
        <w:rPr>
          <w:rFonts w:ascii="Arial" w:eastAsia="Arial" w:hAnsi="Arial" w:cs="Arial"/>
          <w:b/>
        </w:rPr>
      </w:pPr>
    </w:p>
    <w:p w14:paraId="49B56AE5" w14:textId="342BBF9E" w:rsidR="002A3CFC" w:rsidRPr="00C32F1F" w:rsidRDefault="002A3CFC" w:rsidP="008B6796">
      <w:pPr>
        <w:shd w:val="clear" w:color="auto" w:fill="FFFFFF"/>
        <w:spacing w:after="0" w:line="240" w:lineRule="auto"/>
        <w:jc w:val="both"/>
        <w:rPr>
          <w:rFonts w:ascii="Arial" w:hAnsi="Arial" w:cs="Arial"/>
          <w:b/>
          <w:spacing w:val="-6"/>
        </w:rPr>
      </w:pPr>
      <w:r w:rsidRPr="00C32F1F">
        <w:rPr>
          <w:rFonts w:ascii="Arial" w:eastAsia="Times New Roman" w:hAnsi="Arial" w:cs="Arial"/>
          <w:b/>
          <w:bCs/>
          <w:color w:val="121212"/>
        </w:rPr>
        <w:t>Extract</w:t>
      </w:r>
      <w:r w:rsidR="006A5DC9" w:rsidRPr="00C32F1F">
        <w:rPr>
          <w:rFonts w:ascii="Arial" w:eastAsia="Times New Roman" w:hAnsi="Arial" w:cs="Arial"/>
          <w:b/>
          <w:bCs/>
          <w:color w:val="121212"/>
        </w:rPr>
        <w:t xml:space="preserve"> 10</w:t>
      </w:r>
      <w:r w:rsidRPr="00C32F1F">
        <w:rPr>
          <w:rFonts w:ascii="Arial" w:eastAsia="Times New Roman" w:hAnsi="Arial" w:cs="Arial"/>
          <w:b/>
          <w:bCs/>
          <w:color w:val="121212"/>
        </w:rPr>
        <w:t xml:space="preserve">: </w:t>
      </w:r>
      <w:r w:rsidR="00BA0407" w:rsidRPr="00C32F1F">
        <w:rPr>
          <w:rFonts w:ascii="Arial" w:hAnsi="Arial" w:cs="Arial"/>
          <w:b/>
          <w:spacing w:val="-6"/>
        </w:rPr>
        <w:t>Building an inclusive digital ASEAN</w:t>
      </w:r>
    </w:p>
    <w:p w14:paraId="4FD2AEC1" w14:textId="77777777" w:rsidR="002A3CFC" w:rsidRPr="00C32F1F" w:rsidRDefault="002A3CFC" w:rsidP="008B6796">
      <w:pPr>
        <w:shd w:val="clear" w:color="auto" w:fill="FFFFFF"/>
        <w:spacing w:after="0" w:line="240" w:lineRule="auto"/>
        <w:jc w:val="both"/>
        <w:rPr>
          <w:rFonts w:ascii="Arial" w:hAnsi="Arial" w:cs="Arial"/>
          <w:b/>
          <w:spacing w:val="-6"/>
        </w:rPr>
      </w:pPr>
    </w:p>
    <w:p w14:paraId="6744A4BB" w14:textId="77777777" w:rsidR="00B651A5" w:rsidRPr="00C32F1F" w:rsidRDefault="00A728A9" w:rsidP="008B6796">
      <w:pPr>
        <w:pStyle w:val="NormalWeb"/>
        <w:spacing w:before="0" w:beforeAutospacing="0" w:after="0" w:afterAutospacing="0"/>
        <w:jc w:val="both"/>
        <w:rPr>
          <w:rFonts w:ascii="Arial" w:hAnsi="Arial" w:cs="Arial"/>
          <w:color w:val="000000"/>
          <w:sz w:val="22"/>
          <w:szCs w:val="22"/>
        </w:rPr>
      </w:pPr>
      <w:r w:rsidRPr="00C32F1F">
        <w:rPr>
          <w:rFonts w:ascii="Arial" w:hAnsi="Arial" w:cs="Arial"/>
          <w:color w:val="000000"/>
          <w:sz w:val="22"/>
          <w:szCs w:val="22"/>
        </w:rPr>
        <w:t xml:space="preserve">Projected to hit $200 billion by 2025, </w:t>
      </w:r>
      <w:r w:rsidR="0047666A" w:rsidRPr="00C32F1F">
        <w:rPr>
          <w:rFonts w:ascii="Arial" w:hAnsi="Arial" w:cs="Arial"/>
          <w:color w:val="000000"/>
          <w:sz w:val="22"/>
          <w:szCs w:val="22"/>
        </w:rPr>
        <w:t xml:space="preserve">A.T. </w:t>
      </w:r>
      <w:r w:rsidR="00C60918" w:rsidRPr="00C32F1F">
        <w:rPr>
          <w:rFonts w:ascii="Arial" w:hAnsi="Arial" w:cs="Arial"/>
          <w:color w:val="000000"/>
          <w:sz w:val="22"/>
          <w:szCs w:val="22"/>
        </w:rPr>
        <w:t xml:space="preserve">Kearney </w:t>
      </w:r>
      <w:r w:rsidR="00927233" w:rsidRPr="00C32F1F">
        <w:rPr>
          <w:rFonts w:ascii="Arial" w:hAnsi="Arial" w:cs="Arial"/>
          <w:color w:val="000000"/>
          <w:sz w:val="22"/>
          <w:szCs w:val="22"/>
        </w:rPr>
        <w:t>research</w:t>
      </w:r>
      <w:r w:rsidR="00C60918" w:rsidRPr="00C32F1F">
        <w:rPr>
          <w:rFonts w:ascii="Arial" w:hAnsi="Arial" w:cs="Arial"/>
          <w:color w:val="000000"/>
          <w:sz w:val="22"/>
          <w:szCs w:val="22"/>
        </w:rPr>
        <w:t xml:space="preserve"> shows that ASEAN has the potential to enter the world’s top five digital economies</w:t>
      </w:r>
      <w:r w:rsidRPr="00C32F1F">
        <w:rPr>
          <w:rFonts w:ascii="Arial" w:hAnsi="Arial" w:cs="Arial"/>
          <w:color w:val="000000"/>
          <w:sz w:val="22"/>
          <w:szCs w:val="22"/>
        </w:rPr>
        <w:t xml:space="preserve">. </w:t>
      </w:r>
      <w:r w:rsidR="00C60918" w:rsidRPr="00C32F1F">
        <w:rPr>
          <w:rFonts w:ascii="Arial" w:hAnsi="Arial" w:cs="Arial"/>
          <w:color w:val="000000"/>
          <w:sz w:val="22"/>
          <w:szCs w:val="22"/>
        </w:rPr>
        <w:t>The digiti</w:t>
      </w:r>
      <w:r w:rsidR="00260D08" w:rsidRPr="00C32F1F">
        <w:rPr>
          <w:rFonts w:ascii="Arial" w:hAnsi="Arial" w:cs="Arial"/>
          <w:color w:val="000000"/>
          <w:sz w:val="22"/>
          <w:szCs w:val="22"/>
        </w:rPr>
        <w:t>s</w:t>
      </w:r>
      <w:r w:rsidR="00C60918" w:rsidRPr="00C32F1F">
        <w:rPr>
          <w:rFonts w:ascii="Arial" w:hAnsi="Arial" w:cs="Arial"/>
          <w:color w:val="000000"/>
          <w:sz w:val="22"/>
          <w:szCs w:val="22"/>
        </w:rPr>
        <w:t xml:space="preserve">ation and digital transformation </w:t>
      </w:r>
      <w:proofErr w:type="gramStart"/>
      <w:r w:rsidR="00C60918" w:rsidRPr="00C32F1F">
        <w:rPr>
          <w:rFonts w:ascii="Arial" w:hAnsi="Arial" w:cs="Arial"/>
          <w:color w:val="000000"/>
          <w:sz w:val="22"/>
          <w:szCs w:val="22"/>
        </w:rPr>
        <w:t>is</w:t>
      </w:r>
      <w:proofErr w:type="gramEnd"/>
      <w:r w:rsidR="00C60918" w:rsidRPr="00C32F1F">
        <w:rPr>
          <w:rFonts w:ascii="Arial" w:hAnsi="Arial" w:cs="Arial"/>
          <w:color w:val="000000"/>
          <w:sz w:val="22"/>
          <w:szCs w:val="22"/>
        </w:rPr>
        <w:t xml:space="preserve"> an obvious path for ASEAN countries to catch up in Industry 4.0 and leapfrog their economic growth, as no single country can count on the advantages of natural resources or cheap labo</w:t>
      </w:r>
      <w:r w:rsidR="002D11FA" w:rsidRPr="00C32F1F">
        <w:rPr>
          <w:rFonts w:ascii="Arial" w:hAnsi="Arial" w:cs="Arial"/>
          <w:color w:val="000000"/>
          <w:sz w:val="22"/>
          <w:szCs w:val="22"/>
        </w:rPr>
        <w:t>u</w:t>
      </w:r>
      <w:r w:rsidR="00C60918" w:rsidRPr="00C32F1F">
        <w:rPr>
          <w:rFonts w:ascii="Arial" w:hAnsi="Arial" w:cs="Arial"/>
          <w:color w:val="000000"/>
          <w:sz w:val="22"/>
          <w:szCs w:val="22"/>
        </w:rPr>
        <w:t>r.  To move up the ladder of development, they have to pursue a knowledge, technology and data-driven growth model. However, it does not make sense to reach a faster growth rate but create more inequality.  The application of digital technology must be for inclusive development, embedded with “the</w:t>
      </w:r>
      <w:r w:rsidR="0047666A" w:rsidRPr="00C32F1F">
        <w:rPr>
          <w:rFonts w:ascii="Arial" w:hAnsi="Arial" w:cs="Arial"/>
          <w:color w:val="000000"/>
          <w:sz w:val="22"/>
          <w:szCs w:val="22"/>
        </w:rPr>
        <w:t xml:space="preserve"> leave no one behind” principle. </w:t>
      </w:r>
    </w:p>
    <w:p w14:paraId="4404ED3B" w14:textId="77777777" w:rsidR="00B651A5" w:rsidRPr="00C32F1F" w:rsidRDefault="00B651A5" w:rsidP="008B6796">
      <w:pPr>
        <w:pStyle w:val="NormalWeb"/>
        <w:spacing w:before="0" w:beforeAutospacing="0" w:after="0" w:afterAutospacing="0"/>
        <w:jc w:val="both"/>
        <w:rPr>
          <w:rFonts w:ascii="Arial" w:hAnsi="Arial" w:cs="Arial"/>
          <w:color w:val="000000"/>
          <w:sz w:val="22"/>
          <w:szCs w:val="22"/>
        </w:rPr>
      </w:pPr>
    </w:p>
    <w:p w14:paraId="1C7A1F6F" w14:textId="77777777" w:rsidR="00B651A5" w:rsidRPr="00C32F1F" w:rsidRDefault="00927233" w:rsidP="008B6796">
      <w:pPr>
        <w:pStyle w:val="NormalWeb"/>
        <w:spacing w:before="0" w:beforeAutospacing="0" w:after="0" w:afterAutospacing="0"/>
        <w:jc w:val="both"/>
        <w:rPr>
          <w:rFonts w:ascii="Arial" w:hAnsi="Arial" w:cs="Arial"/>
          <w:color w:val="000000"/>
          <w:sz w:val="22"/>
          <w:szCs w:val="22"/>
        </w:rPr>
      </w:pPr>
      <w:r w:rsidRPr="00C32F1F">
        <w:rPr>
          <w:rFonts w:ascii="Arial" w:hAnsi="Arial" w:cs="Arial"/>
          <w:color w:val="000000"/>
          <w:sz w:val="22"/>
          <w:szCs w:val="22"/>
        </w:rPr>
        <w:t xml:space="preserve">But the region needs concrete steps to increase access to skills training for everyone within ASEAN, by developing modern educational and training infrastructure. Some low-skilled workers may be unable to survive slower growth in low-skilled jobs, which will require social protection policies. Investing in education and upskilling or retraining is among indispensable ways to ensure the impact of new technologies will not lead to greater inequality. </w:t>
      </w:r>
    </w:p>
    <w:p w14:paraId="731C8A2E" w14:textId="77777777" w:rsidR="00B651A5" w:rsidRPr="00C32F1F" w:rsidRDefault="00B651A5" w:rsidP="008B6796">
      <w:pPr>
        <w:pStyle w:val="NormalWeb"/>
        <w:spacing w:before="0" w:beforeAutospacing="0" w:after="0" w:afterAutospacing="0"/>
        <w:jc w:val="both"/>
        <w:rPr>
          <w:rFonts w:ascii="Arial" w:hAnsi="Arial" w:cs="Arial"/>
          <w:color w:val="000000"/>
          <w:sz w:val="22"/>
          <w:szCs w:val="22"/>
        </w:rPr>
      </w:pPr>
    </w:p>
    <w:p w14:paraId="62C20434" w14:textId="5BC01618" w:rsidR="00A556FA" w:rsidRPr="00C32F1F" w:rsidRDefault="00927233" w:rsidP="008B6796">
      <w:pPr>
        <w:pStyle w:val="NormalWeb"/>
        <w:spacing w:before="0" w:beforeAutospacing="0" w:after="0" w:afterAutospacing="0"/>
        <w:jc w:val="both"/>
        <w:rPr>
          <w:rFonts w:ascii="Arial" w:hAnsi="Arial" w:cs="Arial"/>
          <w:color w:val="000000"/>
          <w:sz w:val="22"/>
          <w:szCs w:val="22"/>
        </w:rPr>
      </w:pPr>
      <w:r w:rsidRPr="00C32F1F">
        <w:rPr>
          <w:rFonts w:ascii="Arial" w:hAnsi="Arial" w:cs="Arial"/>
          <w:color w:val="000000"/>
          <w:sz w:val="22"/>
          <w:szCs w:val="22"/>
        </w:rPr>
        <w:t>Other means to engender inclusive growth are building infrastructure for digital connectivity, promoting the gig economy and supporting dynamic micro, small and medium-sized enterprises (MSMEs).  Still, there are concerns over the digital gap between urban and rural areas in a country as well as between the more developed and the less developed ASEAN countries.</w:t>
      </w:r>
    </w:p>
    <w:p w14:paraId="3BD4689C" w14:textId="77777777" w:rsidR="00C60918" w:rsidRPr="00C32F1F" w:rsidRDefault="00C60918" w:rsidP="008B6796">
      <w:pPr>
        <w:pStyle w:val="NormalWeb"/>
        <w:spacing w:before="0" w:beforeAutospacing="0" w:after="0" w:afterAutospacing="0"/>
        <w:jc w:val="both"/>
        <w:rPr>
          <w:rFonts w:ascii="Helvetica" w:hAnsi="Helvetica" w:cs="Helvetica"/>
          <w:color w:val="000000"/>
          <w:sz w:val="22"/>
          <w:szCs w:val="22"/>
        </w:rPr>
      </w:pPr>
    </w:p>
    <w:p w14:paraId="7D7C6ACB" w14:textId="3D39D345" w:rsidR="00C60918" w:rsidRPr="00C32F1F" w:rsidRDefault="00C60918" w:rsidP="008B6796">
      <w:pPr>
        <w:pStyle w:val="NormalWeb"/>
        <w:spacing w:before="0" w:beforeAutospacing="0" w:after="0" w:afterAutospacing="0"/>
        <w:jc w:val="right"/>
        <w:rPr>
          <w:rFonts w:ascii="Arial" w:hAnsi="Arial" w:cs="Arial"/>
          <w:i/>
          <w:iCs/>
          <w:sz w:val="22"/>
          <w:szCs w:val="22"/>
        </w:rPr>
      </w:pPr>
      <w:r w:rsidRPr="00C32F1F">
        <w:rPr>
          <w:rFonts w:ascii="Arial" w:hAnsi="Arial" w:cs="Arial"/>
          <w:i/>
          <w:iCs/>
          <w:sz w:val="22"/>
          <w:szCs w:val="22"/>
        </w:rPr>
        <w:t>Source: The Jakarta Post, 7 September 2019</w:t>
      </w:r>
    </w:p>
    <w:p w14:paraId="62387F37" w14:textId="77777777" w:rsidR="00E34EEF" w:rsidRPr="00C32F1F" w:rsidRDefault="00E34EEF">
      <w:pPr>
        <w:rPr>
          <w:rFonts w:ascii="Arial" w:eastAsia="Arial" w:hAnsi="Arial" w:cs="Arial"/>
          <w:b/>
        </w:rPr>
      </w:pPr>
      <w:r w:rsidRPr="00C32F1F">
        <w:rPr>
          <w:rFonts w:ascii="Arial" w:eastAsia="Arial" w:hAnsi="Arial" w:cs="Arial"/>
          <w:b/>
        </w:rPr>
        <w:br w:type="page"/>
      </w:r>
    </w:p>
    <w:p w14:paraId="1665ADEE" w14:textId="548A8C62" w:rsidR="00587172" w:rsidRPr="00C32F1F" w:rsidRDefault="00D667D1" w:rsidP="00587172">
      <w:pPr>
        <w:shd w:val="clear" w:color="auto" w:fill="FFFFFF"/>
        <w:spacing w:after="0" w:line="240" w:lineRule="auto"/>
        <w:ind w:right="-46"/>
        <w:rPr>
          <w:rFonts w:ascii="Arial" w:eastAsia="Arial" w:hAnsi="Arial" w:cs="Arial"/>
          <w:b/>
        </w:rPr>
      </w:pPr>
      <w:r w:rsidRPr="00C32F1F">
        <w:rPr>
          <w:rFonts w:ascii="Arial" w:eastAsia="Arial" w:hAnsi="Arial" w:cs="Arial"/>
          <w:b/>
        </w:rPr>
        <w:lastRenderedPageBreak/>
        <w:t>Questions</w:t>
      </w:r>
    </w:p>
    <w:p w14:paraId="48C49614" w14:textId="77777777" w:rsidR="00651D27" w:rsidRPr="00C32F1F" w:rsidRDefault="00651D27" w:rsidP="00587172">
      <w:pPr>
        <w:shd w:val="clear" w:color="auto" w:fill="FFFFFF"/>
        <w:spacing w:after="0" w:line="240" w:lineRule="auto"/>
        <w:ind w:right="-46"/>
        <w:rPr>
          <w:rFonts w:ascii="Arial" w:eastAsia="Arial" w:hAnsi="Arial" w:cs="Arial"/>
          <w:b/>
        </w:rPr>
      </w:pPr>
    </w:p>
    <w:p w14:paraId="6F6D7B08" w14:textId="3455D929" w:rsidR="00651D27" w:rsidRPr="00C32F1F" w:rsidRDefault="008C7390" w:rsidP="005F169A">
      <w:pPr>
        <w:numPr>
          <w:ilvl w:val="0"/>
          <w:numId w:val="1"/>
        </w:numPr>
        <w:tabs>
          <w:tab w:val="left" w:pos="567"/>
          <w:tab w:val="right" w:pos="9015"/>
        </w:tabs>
        <w:spacing w:after="0" w:line="240" w:lineRule="auto"/>
        <w:ind w:left="1134" w:hanging="1134"/>
        <w:contextualSpacing/>
        <w:jc w:val="both"/>
        <w:rPr>
          <w:rFonts w:ascii="Arial" w:eastAsia="Arial" w:hAnsi="Arial" w:cs="Arial"/>
        </w:rPr>
      </w:pPr>
      <w:r w:rsidRPr="00C32F1F">
        <w:rPr>
          <w:rFonts w:ascii="Arial" w:eastAsia="Arial" w:hAnsi="Arial" w:cs="Arial"/>
        </w:rPr>
        <w:t>With reference to</w:t>
      </w:r>
      <w:r w:rsidR="00651D27" w:rsidRPr="00C32F1F">
        <w:rPr>
          <w:rFonts w:ascii="Arial" w:eastAsia="Arial" w:hAnsi="Arial" w:cs="Arial"/>
        </w:rPr>
        <w:t xml:space="preserve"> Table </w:t>
      </w:r>
      <w:r w:rsidR="006A5DC9" w:rsidRPr="00C32F1F">
        <w:rPr>
          <w:rFonts w:ascii="Arial" w:eastAsia="Arial" w:hAnsi="Arial" w:cs="Arial"/>
        </w:rPr>
        <w:t>1</w:t>
      </w:r>
      <w:r w:rsidR="00653B85" w:rsidRPr="00C32F1F">
        <w:rPr>
          <w:rFonts w:ascii="Arial" w:eastAsia="Arial" w:hAnsi="Arial" w:cs="Arial"/>
        </w:rPr>
        <w:t>:</w:t>
      </w:r>
    </w:p>
    <w:p w14:paraId="5615E4CE" w14:textId="77777777" w:rsidR="00651D27" w:rsidRPr="00C32F1F" w:rsidRDefault="00651D27" w:rsidP="00651D27">
      <w:pPr>
        <w:spacing w:after="0"/>
        <w:ind w:left="720"/>
        <w:rPr>
          <w:rFonts w:ascii="Arial" w:eastAsia="Arial" w:hAnsi="Arial" w:cs="Arial"/>
        </w:rPr>
      </w:pPr>
    </w:p>
    <w:p w14:paraId="627C90A3" w14:textId="58DB6138" w:rsidR="00E66652" w:rsidRPr="00C32F1F" w:rsidRDefault="00651D27" w:rsidP="00E66652">
      <w:pPr>
        <w:tabs>
          <w:tab w:val="left" w:pos="567"/>
          <w:tab w:val="right" w:pos="9015"/>
        </w:tabs>
        <w:spacing w:after="0" w:line="240" w:lineRule="auto"/>
        <w:ind w:left="1134" w:hanging="567"/>
        <w:jc w:val="both"/>
        <w:rPr>
          <w:rFonts w:ascii="Arial" w:eastAsia="Arial" w:hAnsi="Arial" w:cs="Arial"/>
          <w:color w:val="auto"/>
        </w:rPr>
      </w:pPr>
      <w:r w:rsidRPr="00C32F1F">
        <w:rPr>
          <w:rFonts w:ascii="Arial" w:eastAsia="Arial" w:hAnsi="Arial" w:cs="Arial"/>
          <w:b/>
          <w:color w:val="auto"/>
        </w:rPr>
        <w:t>(</w:t>
      </w:r>
      <w:proofErr w:type="spellStart"/>
      <w:r w:rsidRPr="00C32F1F">
        <w:rPr>
          <w:rFonts w:ascii="Arial" w:eastAsia="Arial" w:hAnsi="Arial" w:cs="Arial"/>
          <w:b/>
          <w:color w:val="auto"/>
        </w:rPr>
        <w:t>i</w:t>
      </w:r>
      <w:proofErr w:type="spellEnd"/>
      <w:r w:rsidRPr="00C32F1F">
        <w:rPr>
          <w:rFonts w:ascii="Arial" w:eastAsia="Arial" w:hAnsi="Arial" w:cs="Arial"/>
          <w:b/>
          <w:color w:val="auto"/>
        </w:rPr>
        <w:t>)</w:t>
      </w:r>
      <w:r w:rsidRPr="00C32F1F">
        <w:rPr>
          <w:rFonts w:ascii="Arial" w:eastAsia="Arial" w:hAnsi="Arial" w:cs="Arial"/>
          <w:color w:val="auto"/>
        </w:rPr>
        <w:t xml:space="preserve"> </w:t>
      </w:r>
      <w:r w:rsidRPr="00C32F1F">
        <w:rPr>
          <w:rFonts w:ascii="Arial" w:eastAsia="Arial" w:hAnsi="Arial" w:cs="Arial"/>
          <w:color w:val="auto"/>
        </w:rPr>
        <w:tab/>
      </w:r>
      <w:r w:rsidR="00BB2F15" w:rsidRPr="00C32F1F">
        <w:rPr>
          <w:rFonts w:ascii="Arial" w:eastAsia="Arial" w:hAnsi="Arial" w:cs="Arial"/>
          <w:color w:val="auto"/>
        </w:rPr>
        <w:t>Identify</w:t>
      </w:r>
      <w:r w:rsidRPr="00C32F1F">
        <w:rPr>
          <w:rFonts w:ascii="Arial" w:eastAsia="Arial" w:hAnsi="Arial" w:cs="Arial"/>
          <w:color w:val="auto"/>
        </w:rPr>
        <w:t xml:space="preserve"> </w:t>
      </w:r>
      <w:r w:rsidR="00926FBD" w:rsidRPr="00C32F1F">
        <w:rPr>
          <w:rFonts w:ascii="Arial" w:eastAsia="Arial" w:hAnsi="Arial" w:cs="Arial"/>
          <w:color w:val="auto"/>
        </w:rPr>
        <w:t>the</w:t>
      </w:r>
      <w:r w:rsidRPr="00C32F1F">
        <w:rPr>
          <w:rFonts w:ascii="Arial" w:eastAsia="Arial" w:hAnsi="Arial" w:cs="Arial"/>
          <w:color w:val="auto"/>
        </w:rPr>
        <w:t xml:space="preserve"> measures that make up the </w:t>
      </w:r>
      <w:r w:rsidR="00A728A9" w:rsidRPr="00C32F1F">
        <w:rPr>
          <w:rFonts w:ascii="Arial" w:eastAsia="Arial" w:hAnsi="Arial" w:cs="Arial"/>
          <w:color w:val="auto"/>
        </w:rPr>
        <w:t>human development i</w:t>
      </w:r>
      <w:r w:rsidRPr="00C32F1F">
        <w:rPr>
          <w:rFonts w:ascii="Arial" w:eastAsia="Arial" w:hAnsi="Arial" w:cs="Arial"/>
          <w:color w:val="auto"/>
        </w:rPr>
        <w:t>ndex (HDI)</w:t>
      </w:r>
      <w:r w:rsidRPr="00C32F1F">
        <w:rPr>
          <w:rFonts w:ascii="Arial" w:hAnsi="Arial" w:cs="Arial"/>
          <w:color w:val="auto"/>
        </w:rPr>
        <w:t>.</w:t>
      </w:r>
      <w:r w:rsidRPr="00C32F1F">
        <w:rPr>
          <w:rFonts w:ascii="Arial" w:eastAsia="Arial" w:hAnsi="Arial" w:cs="Arial"/>
          <w:color w:val="auto"/>
        </w:rPr>
        <w:tab/>
      </w:r>
      <w:r w:rsidR="00926FBD" w:rsidRPr="00C32F1F">
        <w:rPr>
          <w:rFonts w:ascii="Arial" w:eastAsia="Arial" w:hAnsi="Arial" w:cs="Arial"/>
          <w:color w:val="auto"/>
        </w:rPr>
        <w:t>[3</w:t>
      </w:r>
      <w:r w:rsidRPr="00C32F1F">
        <w:rPr>
          <w:rFonts w:ascii="Arial" w:eastAsia="Arial" w:hAnsi="Arial" w:cs="Arial"/>
          <w:color w:val="auto"/>
        </w:rPr>
        <w:t>]</w:t>
      </w:r>
    </w:p>
    <w:p w14:paraId="60EC2FBD" w14:textId="3309796D" w:rsidR="00124179" w:rsidRPr="00C32F1F" w:rsidRDefault="00124179" w:rsidP="00E66652">
      <w:pPr>
        <w:tabs>
          <w:tab w:val="left" w:pos="567"/>
          <w:tab w:val="right" w:pos="9015"/>
        </w:tabs>
        <w:spacing w:after="0" w:line="240" w:lineRule="auto"/>
        <w:ind w:left="1134" w:hanging="567"/>
        <w:jc w:val="both"/>
        <w:rPr>
          <w:rFonts w:ascii="Arial" w:eastAsia="Arial" w:hAnsi="Arial" w:cs="Arial"/>
          <w:color w:val="auto"/>
        </w:rPr>
      </w:pPr>
    </w:p>
    <w:p w14:paraId="3E129CE3" w14:textId="69867AD8" w:rsidR="00124179" w:rsidRPr="00C32F1F" w:rsidRDefault="00124179" w:rsidP="00124179">
      <w:pPr>
        <w:tabs>
          <w:tab w:val="left" w:pos="567"/>
          <w:tab w:val="right" w:pos="9015"/>
        </w:tabs>
        <w:spacing w:after="0" w:line="240" w:lineRule="auto"/>
        <w:ind w:left="1134" w:hanging="567"/>
        <w:jc w:val="both"/>
        <w:rPr>
          <w:rFonts w:ascii="Arial" w:eastAsia="Arial" w:hAnsi="Arial" w:cs="Arial"/>
          <w:color w:val="auto"/>
        </w:rPr>
      </w:pPr>
      <w:r w:rsidRPr="00C32F1F">
        <w:rPr>
          <w:rFonts w:ascii="Arial" w:eastAsia="Arial" w:hAnsi="Arial" w:cs="Arial"/>
          <w:b/>
          <w:color w:val="auto"/>
        </w:rPr>
        <w:t>(ii)</w:t>
      </w:r>
      <w:r w:rsidRPr="00C32F1F">
        <w:rPr>
          <w:rFonts w:ascii="Arial" w:eastAsia="Arial" w:hAnsi="Arial" w:cs="Arial"/>
          <w:color w:val="auto"/>
        </w:rPr>
        <w:t xml:space="preserve"> </w:t>
      </w:r>
      <w:r w:rsidRPr="00C32F1F">
        <w:rPr>
          <w:rFonts w:ascii="Arial" w:eastAsia="Arial" w:hAnsi="Arial" w:cs="Arial"/>
          <w:color w:val="auto"/>
        </w:rPr>
        <w:tab/>
        <w:t xml:space="preserve">Compare the Philippines and </w:t>
      </w:r>
      <w:r w:rsidR="008331C5" w:rsidRPr="00C32F1F">
        <w:rPr>
          <w:rFonts w:ascii="Arial" w:eastAsia="Arial" w:hAnsi="Arial" w:cs="Arial"/>
          <w:color w:val="auto"/>
        </w:rPr>
        <w:t>Indonesia in terms of living standards</w:t>
      </w:r>
      <w:r w:rsidRPr="00C32F1F">
        <w:rPr>
          <w:rFonts w:ascii="Arial" w:eastAsia="Arial" w:hAnsi="Arial" w:cs="Arial"/>
          <w:color w:val="auto"/>
        </w:rPr>
        <w:t>, and comment briefly on your findings</w:t>
      </w:r>
      <w:r w:rsidRPr="00C32F1F">
        <w:rPr>
          <w:rFonts w:ascii="Arial" w:hAnsi="Arial" w:cs="Arial"/>
          <w:color w:val="auto"/>
        </w:rPr>
        <w:t>.</w:t>
      </w:r>
      <w:r w:rsidRPr="00C32F1F">
        <w:rPr>
          <w:rFonts w:ascii="Arial" w:eastAsia="Arial" w:hAnsi="Arial" w:cs="Arial"/>
          <w:color w:val="auto"/>
        </w:rPr>
        <w:tab/>
      </w:r>
      <w:r w:rsidR="009D2878" w:rsidRPr="00C32F1F">
        <w:rPr>
          <w:rFonts w:ascii="Arial" w:eastAsia="Arial" w:hAnsi="Arial" w:cs="Arial"/>
          <w:color w:val="auto"/>
        </w:rPr>
        <w:t>[7</w:t>
      </w:r>
      <w:r w:rsidRPr="00C32F1F">
        <w:rPr>
          <w:rFonts w:ascii="Arial" w:eastAsia="Arial" w:hAnsi="Arial" w:cs="Arial"/>
          <w:color w:val="auto"/>
        </w:rPr>
        <w:t>]</w:t>
      </w:r>
    </w:p>
    <w:p w14:paraId="55BF84CB" w14:textId="77777777" w:rsidR="00651D27" w:rsidRPr="00C32F1F" w:rsidRDefault="00651D27" w:rsidP="00651D27">
      <w:pPr>
        <w:tabs>
          <w:tab w:val="left" w:pos="567"/>
          <w:tab w:val="right" w:pos="9015"/>
        </w:tabs>
        <w:spacing w:after="0" w:line="240" w:lineRule="auto"/>
        <w:ind w:left="1134" w:hanging="567"/>
        <w:jc w:val="both"/>
        <w:rPr>
          <w:rFonts w:ascii="Arial" w:eastAsia="Arial" w:hAnsi="Arial" w:cs="Arial"/>
          <w:color w:val="auto"/>
        </w:rPr>
      </w:pPr>
    </w:p>
    <w:p w14:paraId="79394569" w14:textId="038A1E92" w:rsidR="00A50B37" w:rsidRPr="00C32F1F" w:rsidRDefault="008C7390" w:rsidP="005F169A">
      <w:pPr>
        <w:numPr>
          <w:ilvl w:val="0"/>
          <w:numId w:val="1"/>
        </w:numPr>
        <w:tabs>
          <w:tab w:val="left" w:pos="567"/>
          <w:tab w:val="right" w:pos="9015"/>
        </w:tabs>
        <w:spacing w:after="0" w:line="240" w:lineRule="auto"/>
        <w:ind w:left="567" w:hanging="567"/>
        <w:contextualSpacing/>
        <w:jc w:val="both"/>
        <w:rPr>
          <w:rFonts w:ascii="Arial" w:eastAsia="Arial" w:hAnsi="Arial" w:cs="Arial"/>
        </w:rPr>
      </w:pPr>
      <w:r w:rsidRPr="00C32F1F">
        <w:rPr>
          <w:rFonts w:ascii="Arial" w:eastAsia="Arial" w:hAnsi="Arial" w:cs="Arial"/>
        </w:rPr>
        <w:t xml:space="preserve">Figure </w:t>
      </w:r>
      <w:r w:rsidR="006A5DC9" w:rsidRPr="00C32F1F">
        <w:rPr>
          <w:rFonts w:ascii="Arial" w:eastAsia="Arial" w:hAnsi="Arial" w:cs="Arial"/>
        </w:rPr>
        <w:t>2</w:t>
      </w:r>
      <w:r w:rsidR="00292243" w:rsidRPr="00C32F1F">
        <w:rPr>
          <w:rFonts w:ascii="Arial" w:eastAsia="Arial" w:hAnsi="Arial" w:cs="Arial"/>
        </w:rPr>
        <w:t xml:space="preserve"> provides data on the</w:t>
      </w:r>
      <w:r w:rsidRPr="00C32F1F">
        <w:rPr>
          <w:rFonts w:ascii="Arial" w:eastAsia="Arial" w:hAnsi="Arial" w:cs="Arial"/>
        </w:rPr>
        <w:t xml:space="preserve"> budget balance among ASEAN countries over the period 2015-2019. </w:t>
      </w:r>
      <w:r w:rsidR="001C1FD8" w:rsidRPr="00C32F1F">
        <w:rPr>
          <w:rFonts w:ascii="Arial" w:eastAsia="Arial" w:hAnsi="Arial" w:cs="Arial"/>
        </w:rPr>
        <w:t>Summarise the trends.</w:t>
      </w:r>
      <w:r w:rsidR="00A50B37" w:rsidRPr="00C32F1F">
        <w:rPr>
          <w:rFonts w:ascii="Arial" w:eastAsia="Arial" w:hAnsi="Arial" w:cs="Arial"/>
        </w:rPr>
        <w:tab/>
        <w:t>[2]</w:t>
      </w:r>
    </w:p>
    <w:p w14:paraId="7C8C5BC5" w14:textId="581920FE" w:rsidR="00587172" w:rsidRPr="00C32F1F" w:rsidRDefault="00587172" w:rsidP="00587172">
      <w:pPr>
        <w:spacing w:after="0" w:line="240" w:lineRule="auto"/>
        <w:rPr>
          <w:rFonts w:ascii="Arial" w:eastAsia="Arial" w:hAnsi="Arial" w:cs="Arial"/>
          <w:b/>
        </w:rPr>
      </w:pPr>
    </w:p>
    <w:p w14:paraId="5B93D145" w14:textId="07FDE38E" w:rsidR="00654B50" w:rsidRPr="00C32F1F" w:rsidRDefault="00FF4AEF" w:rsidP="005F169A">
      <w:pPr>
        <w:numPr>
          <w:ilvl w:val="0"/>
          <w:numId w:val="1"/>
        </w:numPr>
        <w:tabs>
          <w:tab w:val="left" w:pos="567"/>
          <w:tab w:val="right" w:pos="9015"/>
        </w:tabs>
        <w:spacing w:after="0" w:line="240" w:lineRule="auto"/>
        <w:ind w:left="567" w:hanging="567"/>
        <w:contextualSpacing/>
        <w:jc w:val="both"/>
        <w:rPr>
          <w:rFonts w:ascii="Arial" w:eastAsia="Arial" w:hAnsi="Arial" w:cs="Arial"/>
        </w:rPr>
      </w:pPr>
      <w:r w:rsidRPr="00C32F1F">
        <w:rPr>
          <w:rFonts w:ascii="Arial" w:eastAsia="Arial" w:hAnsi="Arial" w:cs="Arial"/>
        </w:rPr>
        <w:t xml:space="preserve">What is the main characteristic of a positive economic statement? </w:t>
      </w:r>
      <w:r w:rsidR="009204D3" w:rsidRPr="00C32F1F">
        <w:rPr>
          <w:rFonts w:ascii="Arial" w:eastAsia="Arial" w:hAnsi="Arial" w:cs="Arial"/>
        </w:rPr>
        <w:t>Identify a specific phrase that illustrates</w:t>
      </w:r>
      <w:r w:rsidR="00654B50" w:rsidRPr="00C32F1F">
        <w:rPr>
          <w:rFonts w:ascii="Arial" w:eastAsia="Arial" w:hAnsi="Arial" w:cs="Arial"/>
        </w:rPr>
        <w:t xml:space="preserve"> </w:t>
      </w:r>
      <w:r w:rsidR="00FD531C" w:rsidRPr="00C32F1F">
        <w:rPr>
          <w:rFonts w:ascii="Arial" w:eastAsia="Arial" w:hAnsi="Arial" w:cs="Arial"/>
        </w:rPr>
        <w:t>such</w:t>
      </w:r>
      <w:r w:rsidRPr="00C32F1F">
        <w:rPr>
          <w:rFonts w:ascii="Arial" w:eastAsia="Arial" w:hAnsi="Arial" w:cs="Arial"/>
        </w:rPr>
        <w:t xml:space="preserve"> a</w:t>
      </w:r>
      <w:r w:rsidR="00654B50" w:rsidRPr="00C32F1F">
        <w:rPr>
          <w:rFonts w:ascii="Arial" w:eastAsia="Arial" w:hAnsi="Arial" w:cs="Arial"/>
        </w:rPr>
        <w:t xml:space="preserve"> statement from Extract</w:t>
      </w:r>
      <w:r w:rsidR="006A5DC9" w:rsidRPr="00C32F1F">
        <w:rPr>
          <w:rFonts w:ascii="Arial" w:eastAsia="Arial" w:hAnsi="Arial" w:cs="Arial"/>
        </w:rPr>
        <w:t xml:space="preserve"> 8</w:t>
      </w:r>
      <w:r w:rsidR="002A7002" w:rsidRPr="00C32F1F">
        <w:rPr>
          <w:rFonts w:ascii="Arial" w:eastAsia="Arial" w:hAnsi="Arial" w:cs="Arial"/>
        </w:rPr>
        <w:t>.1</w:t>
      </w:r>
      <w:r w:rsidR="00654B50" w:rsidRPr="00C32F1F">
        <w:rPr>
          <w:rFonts w:ascii="Arial" w:eastAsia="Arial" w:hAnsi="Arial" w:cs="Arial"/>
        </w:rPr>
        <w:t>.</w:t>
      </w:r>
      <w:r w:rsidR="00654B50" w:rsidRPr="00C32F1F">
        <w:rPr>
          <w:rFonts w:ascii="Arial" w:eastAsia="Arial" w:hAnsi="Arial" w:cs="Arial"/>
        </w:rPr>
        <w:tab/>
      </w:r>
      <w:r w:rsidRPr="00C32F1F">
        <w:rPr>
          <w:rFonts w:ascii="Arial" w:eastAsia="Arial" w:hAnsi="Arial" w:cs="Arial"/>
        </w:rPr>
        <w:t>[2</w:t>
      </w:r>
      <w:r w:rsidR="00654B50" w:rsidRPr="00C32F1F">
        <w:rPr>
          <w:rFonts w:ascii="Arial" w:eastAsia="Arial" w:hAnsi="Arial" w:cs="Arial"/>
        </w:rPr>
        <w:t>]</w:t>
      </w:r>
    </w:p>
    <w:p w14:paraId="7716FAB3" w14:textId="77777777" w:rsidR="00654B50" w:rsidRPr="00C32F1F" w:rsidRDefault="00654B50" w:rsidP="00587172">
      <w:pPr>
        <w:spacing w:after="0" w:line="240" w:lineRule="auto"/>
        <w:rPr>
          <w:rFonts w:ascii="Arial" w:eastAsia="Arial" w:hAnsi="Arial" w:cs="Arial"/>
          <w:b/>
        </w:rPr>
      </w:pPr>
    </w:p>
    <w:p w14:paraId="57462DA3" w14:textId="0A3BA3CA" w:rsidR="00FB6441" w:rsidRPr="00C32F1F" w:rsidRDefault="00FB6441" w:rsidP="005F169A">
      <w:pPr>
        <w:numPr>
          <w:ilvl w:val="0"/>
          <w:numId w:val="1"/>
        </w:numPr>
        <w:tabs>
          <w:tab w:val="left" w:pos="567"/>
          <w:tab w:val="right" w:pos="9015"/>
        </w:tabs>
        <w:spacing w:after="0" w:line="240" w:lineRule="auto"/>
        <w:ind w:left="567" w:hanging="567"/>
        <w:contextualSpacing/>
        <w:jc w:val="both"/>
        <w:rPr>
          <w:rFonts w:ascii="Arial" w:eastAsia="Arial" w:hAnsi="Arial" w:cs="Arial"/>
        </w:rPr>
      </w:pPr>
      <w:r w:rsidRPr="00C32F1F">
        <w:rPr>
          <w:rFonts w:ascii="Arial" w:hAnsi="Arial" w:cs="Arial"/>
          <w:color w:val="auto"/>
          <w:spacing w:val="-2"/>
          <w:shd w:val="clear" w:color="auto" w:fill="FFFFFF"/>
        </w:rPr>
        <w:t>Extract</w:t>
      </w:r>
      <w:r w:rsidR="009779F2" w:rsidRPr="00C32F1F">
        <w:rPr>
          <w:rFonts w:ascii="Arial" w:hAnsi="Arial" w:cs="Arial"/>
          <w:color w:val="auto"/>
          <w:spacing w:val="-2"/>
          <w:shd w:val="clear" w:color="auto" w:fill="FFFFFF"/>
        </w:rPr>
        <w:t>s</w:t>
      </w:r>
      <w:r w:rsidRPr="00C32F1F">
        <w:rPr>
          <w:rFonts w:ascii="Arial" w:hAnsi="Arial" w:cs="Arial"/>
          <w:color w:val="auto"/>
          <w:spacing w:val="-2"/>
          <w:shd w:val="clear" w:color="auto" w:fill="FFFFFF"/>
        </w:rPr>
        <w:t xml:space="preserve"> 7 and 8 describe the expansionary fiscal plans of selected ASEAN countries</w:t>
      </w:r>
      <w:r w:rsidRPr="00C32F1F">
        <w:rPr>
          <w:rFonts w:ascii="Arial" w:eastAsia="Arial" w:hAnsi="Arial" w:cs="Arial"/>
        </w:rPr>
        <w:t>.</w:t>
      </w:r>
    </w:p>
    <w:p w14:paraId="6C03F556" w14:textId="77777777" w:rsidR="009B334F" w:rsidRPr="00C32F1F" w:rsidRDefault="009B334F" w:rsidP="009B334F">
      <w:pPr>
        <w:spacing w:after="0"/>
        <w:ind w:left="720"/>
        <w:rPr>
          <w:rFonts w:ascii="Arial" w:eastAsia="Arial" w:hAnsi="Arial" w:cs="Arial"/>
        </w:rPr>
      </w:pPr>
    </w:p>
    <w:p w14:paraId="6EE7C7F8" w14:textId="164ECEA3" w:rsidR="009B334F" w:rsidRPr="00C32F1F" w:rsidRDefault="009B334F" w:rsidP="009B334F">
      <w:pPr>
        <w:tabs>
          <w:tab w:val="left" w:pos="567"/>
          <w:tab w:val="right" w:pos="9015"/>
        </w:tabs>
        <w:spacing w:after="0" w:line="240" w:lineRule="auto"/>
        <w:ind w:left="1134" w:hanging="567"/>
        <w:jc w:val="both"/>
        <w:rPr>
          <w:rFonts w:ascii="Arial" w:eastAsia="Arial" w:hAnsi="Arial" w:cs="Arial"/>
          <w:color w:val="auto"/>
        </w:rPr>
      </w:pPr>
      <w:r w:rsidRPr="00C32F1F">
        <w:rPr>
          <w:rFonts w:ascii="Arial" w:eastAsia="Arial" w:hAnsi="Arial" w:cs="Arial"/>
          <w:b/>
          <w:color w:val="auto"/>
        </w:rPr>
        <w:t>(</w:t>
      </w:r>
      <w:proofErr w:type="spellStart"/>
      <w:r w:rsidRPr="00C32F1F">
        <w:rPr>
          <w:rFonts w:ascii="Arial" w:eastAsia="Arial" w:hAnsi="Arial" w:cs="Arial"/>
          <w:b/>
          <w:color w:val="auto"/>
        </w:rPr>
        <w:t>i</w:t>
      </w:r>
      <w:proofErr w:type="spellEnd"/>
      <w:r w:rsidRPr="00C32F1F">
        <w:rPr>
          <w:rFonts w:ascii="Arial" w:eastAsia="Arial" w:hAnsi="Arial" w:cs="Arial"/>
          <w:b/>
          <w:color w:val="auto"/>
        </w:rPr>
        <w:t>)</w:t>
      </w:r>
      <w:r w:rsidRPr="00C32F1F">
        <w:rPr>
          <w:rFonts w:ascii="Arial" w:eastAsia="Arial" w:hAnsi="Arial" w:cs="Arial"/>
          <w:color w:val="auto"/>
        </w:rPr>
        <w:t xml:space="preserve"> </w:t>
      </w:r>
      <w:r w:rsidRPr="00C32F1F">
        <w:rPr>
          <w:rFonts w:ascii="Arial" w:eastAsia="Arial" w:hAnsi="Arial" w:cs="Arial"/>
          <w:color w:val="auto"/>
        </w:rPr>
        <w:tab/>
      </w:r>
      <w:r w:rsidR="004645FA" w:rsidRPr="00C32F1F">
        <w:rPr>
          <w:rFonts w:ascii="Arial" w:eastAsia="Arial" w:hAnsi="Arial" w:cs="Arial"/>
          <w:color w:val="auto"/>
        </w:rPr>
        <w:t>With reference to Extract</w:t>
      </w:r>
      <w:r w:rsidR="006A5DC9" w:rsidRPr="00C32F1F">
        <w:rPr>
          <w:rFonts w:ascii="Arial" w:eastAsia="Arial" w:hAnsi="Arial" w:cs="Arial"/>
          <w:color w:val="auto"/>
        </w:rPr>
        <w:t xml:space="preserve"> 8</w:t>
      </w:r>
      <w:r w:rsidR="004645FA" w:rsidRPr="00C32F1F">
        <w:rPr>
          <w:rFonts w:ascii="Arial" w:eastAsia="Arial" w:hAnsi="Arial" w:cs="Arial"/>
          <w:color w:val="auto"/>
        </w:rPr>
        <w:t>.1 and u</w:t>
      </w:r>
      <w:r w:rsidRPr="00C32F1F">
        <w:rPr>
          <w:rFonts w:ascii="Arial" w:eastAsia="Times New Roman" w:hAnsi="Arial" w:cs="Arial"/>
          <w:color w:val="121212"/>
        </w:rPr>
        <w:t xml:space="preserve">sing AD/AS analysis, explain how </w:t>
      </w:r>
      <w:r w:rsidR="004645FA" w:rsidRPr="00C32F1F">
        <w:rPr>
          <w:rFonts w:ascii="Arial" w:eastAsia="Times New Roman" w:hAnsi="Arial" w:cs="Arial"/>
          <w:color w:val="121212"/>
        </w:rPr>
        <w:t>‘record</w:t>
      </w:r>
      <w:r w:rsidRPr="00C32F1F">
        <w:rPr>
          <w:rFonts w:ascii="Arial" w:eastAsia="Times New Roman" w:hAnsi="Arial" w:cs="Arial"/>
          <w:color w:val="121212"/>
        </w:rPr>
        <w:t xml:space="preserve"> government spending</w:t>
      </w:r>
      <w:r w:rsidR="004645FA" w:rsidRPr="00C32F1F">
        <w:rPr>
          <w:rFonts w:ascii="Arial" w:eastAsia="Times New Roman" w:hAnsi="Arial" w:cs="Arial"/>
          <w:color w:val="121212"/>
        </w:rPr>
        <w:t>’</w:t>
      </w:r>
      <w:r w:rsidRPr="00C32F1F">
        <w:rPr>
          <w:rFonts w:ascii="Arial" w:eastAsia="Times New Roman" w:hAnsi="Arial" w:cs="Arial"/>
          <w:color w:val="121212"/>
        </w:rPr>
        <w:t xml:space="preserve"> may be able to ‘overcome risks from a global slowdown and escalating trade war’</w:t>
      </w:r>
      <w:r w:rsidRPr="00C32F1F">
        <w:rPr>
          <w:rFonts w:ascii="Arial" w:hAnsi="Arial" w:cs="Arial"/>
          <w:color w:val="auto"/>
        </w:rPr>
        <w:t>.</w:t>
      </w:r>
      <w:r w:rsidRPr="00C32F1F">
        <w:rPr>
          <w:rFonts w:ascii="Arial" w:eastAsia="Arial" w:hAnsi="Arial" w:cs="Arial"/>
          <w:color w:val="auto"/>
        </w:rPr>
        <w:tab/>
      </w:r>
      <w:r w:rsidR="00FF4AEF" w:rsidRPr="00C32F1F">
        <w:rPr>
          <w:rFonts w:ascii="Arial" w:eastAsia="Arial" w:hAnsi="Arial" w:cs="Arial"/>
          <w:color w:val="auto"/>
        </w:rPr>
        <w:t>[6</w:t>
      </w:r>
      <w:r w:rsidRPr="00C32F1F">
        <w:rPr>
          <w:rFonts w:ascii="Arial" w:eastAsia="Arial" w:hAnsi="Arial" w:cs="Arial"/>
          <w:color w:val="auto"/>
        </w:rPr>
        <w:t>]</w:t>
      </w:r>
    </w:p>
    <w:p w14:paraId="4CEF6C4E" w14:textId="77777777" w:rsidR="009B334F" w:rsidRPr="00C32F1F" w:rsidRDefault="009B334F" w:rsidP="009B334F">
      <w:pPr>
        <w:tabs>
          <w:tab w:val="left" w:pos="567"/>
          <w:tab w:val="right" w:pos="9015"/>
        </w:tabs>
        <w:spacing w:after="0" w:line="240" w:lineRule="auto"/>
        <w:ind w:left="1134" w:hanging="567"/>
        <w:jc w:val="both"/>
        <w:rPr>
          <w:rFonts w:ascii="Arial" w:eastAsia="Arial" w:hAnsi="Arial" w:cs="Arial"/>
          <w:color w:val="auto"/>
        </w:rPr>
      </w:pPr>
    </w:p>
    <w:p w14:paraId="181AC5E1" w14:textId="4FFEA917" w:rsidR="009B334F" w:rsidRPr="00C32F1F" w:rsidRDefault="009B334F" w:rsidP="009B334F">
      <w:pPr>
        <w:tabs>
          <w:tab w:val="left" w:pos="567"/>
          <w:tab w:val="right" w:pos="9015"/>
        </w:tabs>
        <w:spacing w:after="0" w:line="240" w:lineRule="auto"/>
        <w:ind w:left="1134" w:hanging="567"/>
        <w:jc w:val="both"/>
        <w:rPr>
          <w:rFonts w:ascii="Arial" w:eastAsia="Arial" w:hAnsi="Arial" w:cs="Arial"/>
          <w:color w:val="auto"/>
        </w:rPr>
      </w:pPr>
      <w:r w:rsidRPr="00C32F1F">
        <w:rPr>
          <w:rFonts w:ascii="Arial" w:eastAsia="Arial" w:hAnsi="Arial" w:cs="Arial"/>
          <w:b/>
          <w:color w:val="auto"/>
        </w:rPr>
        <w:t>(ii)</w:t>
      </w:r>
      <w:r w:rsidRPr="00C32F1F">
        <w:rPr>
          <w:rFonts w:ascii="Arial" w:eastAsia="Arial" w:hAnsi="Arial" w:cs="Arial"/>
          <w:color w:val="auto"/>
        </w:rPr>
        <w:t xml:space="preserve"> </w:t>
      </w:r>
      <w:r w:rsidRPr="00C32F1F">
        <w:rPr>
          <w:rFonts w:ascii="Arial" w:eastAsia="Arial" w:hAnsi="Arial" w:cs="Arial"/>
          <w:color w:val="auto"/>
        </w:rPr>
        <w:tab/>
      </w:r>
      <w:r w:rsidR="00B035ED" w:rsidRPr="00C32F1F">
        <w:rPr>
          <w:rFonts w:ascii="Arial" w:eastAsia="Arial" w:hAnsi="Arial" w:cs="Arial"/>
          <w:color w:val="auto"/>
        </w:rPr>
        <w:t xml:space="preserve">Explain how ‘heavier spending and falling government revenues’ (Extract </w:t>
      </w:r>
      <w:r w:rsidR="006A5DC9" w:rsidRPr="00C32F1F">
        <w:rPr>
          <w:rFonts w:ascii="Arial" w:eastAsia="Arial" w:hAnsi="Arial" w:cs="Arial"/>
          <w:color w:val="auto"/>
        </w:rPr>
        <w:t>7</w:t>
      </w:r>
      <w:r w:rsidR="00B035ED" w:rsidRPr="00C32F1F">
        <w:rPr>
          <w:rFonts w:ascii="Arial" w:eastAsia="Arial" w:hAnsi="Arial" w:cs="Arial"/>
          <w:color w:val="auto"/>
        </w:rPr>
        <w:t>) may pose</w:t>
      </w:r>
      <w:r w:rsidR="00741BE7" w:rsidRPr="00C32F1F">
        <w:rPr>
          <w:rFonts w:ascii="Arial" w:eastAsia="Arial" w:hAnsi="Arial" w:cs="Arial"/>
          <w:color w:val="auto"/>
        </w:rPr>
        <w:t xml:space="preserve"> an economic</w:t>
      </w:r>
      <w:r w:rsidR="00B035ED" w:rsidRPr="00C32F1F">
        <w:rPr>
          <w:rFonts w:ascii="Arial" w:eastAsia="Arial" w:hAnsi="Arial" w:cs="Arial"/>
          <w:color w:val="auto"/>
        </w:rPr>
        <w:t xml:space="preserve"> </w:t>
      </w:r>
      <w:r w:rsidR="00741BE7" w:rsidRPr="00C32F1F">
        <w:rPr>
          <w:rFonts w:ascii="Arial" w:eastAsia="Arial" w:hAnsi="Arial" w:cs="Arial"/>
          <w:color w:val="auto"/>
        </w:rPr>
        <w:t>risk to a country</w:t>
      </w:r>
      <w:r w:rsidR="002E39A9" w:rsidRPr="00C32F1F">
        <w:rPr>
          <w:rFonts w:ascii="Arial" w:eastAsia="Arial" w:hAnsi="Arial" w:cs="Arial"/>
          <w:color w:val="auto"/>
        </w:rPr>
        <w:t xml:space="preserve"> both</w:t>
      </w:r>
      <w:r w:rsidR="00825580" w:rsidRPr="00C32F1F">
        <w:rPr>
          <w:rFonts w:ascii="Arial" w:eastAsia="Arial" w:hAnsi="Arial" w:cs="Arial"/>
          <w:color w:val="auto"/>
        </w:rPr>
        <w:t xml:space="preserve"> in the short</w:t>
      </w:r>
      <w:r w:rsidR="00260D08" w:rsidRPr="00C32F1F">
        <w:rPr>
          <w:rFonts w:ascii="Arial" w:eastAsia="Arial" w:hAnsi="Arial" w:cs="Arial"/>
          <w:color w:val="auto"/>
        </w:rPr>
        <w:t xml:space="preserve"> </w:t>
      </w:r>
      <w:r w:rsidR="00825580" w:rsidRPr="00C32F1F">
        <w:rPr>
          <w:rFonts w:ascii="Arial" w:eastAsia="Arial" w:hAnsi="Arial" w:cs="Arial"/>
          <w:color w:val="auto"/>
        </w:rPr>
        <w:t>run and</w:t>
      </w:r>
      <w:r w:rsidR="002E39A9" w:rsidRPr="00C32F1F">
        <w:rPr>
          <w:rFonts w:ascii="Arial" w:eastAsia="Arial" w:hAnsi="Arial" w:cs="Arial"/>
          <w:color w:val="auto"/>
        </w:rPr>
        <w:t xml:space="preserve"> in</w:t>
      </w:r>
      <w:r w:rsidR="00741BE7" w:rsidRPr="00C32F1F">
        <w:rPr>
          <w:rFonts w:ascii="Arial" w:eastAsia="Arial" w:hAnsi="Arial" w:cs="Arial"/>
          <w:color w:val="auto"/>
        </w:rPr>
        <w:t xml:space="preserve"> the</w:t>
      </w:r>
      <w:r w:rsidR="00825580" w:rsidRPr="00C32F1F">
        <w:rPr>
          <w:rFonts w:ascii="Arial" w:eastAsia="Arial" w:hAnsi="Arial" w:cs="Arial"/>
          <w:color w:val="auto"/>
        </w:rPr>
        <w:t xml:space="preserve"> long</w:t>
      </w:r>
      <w:r w:rsidR="00260D08" w:rsidRPr="00C32F1F">
        <w:rPr>
          <w:rFonts w:ascii="Arial" w:eastAsia="Arial" w:hAnsi="Arial" w:cs="Arial"/>
          <w:color w:val="auto"/>
        </w:rPr>
        <w:t xml:space="preserve"> </w:t>
      </w:r>
      <w:r w:rsidR="00825580" w:rsidRPr="00C32F1F">
        <w:rPr>
          <w:rFonts w:ascii="Arial" w:eastAsia="Arial" w:hAnsi="Arial" w:cs="Arial"/>
          <w:color w:val="auto"/>
        </w:rPr>
        <w:t>run</w:t>
      </w:r>
      <w:r w:rsidR="00260D08" w:rsidRPr="00C32F1F">
        <w:rPr>
          <w:rFonts w:ascii="Arial" w:eastAsia="Arial" w:hAnsi="Arial" w:cs="Arial"/>
          <w:color w:val="auto"/>
        </w:rPr>
        <w:t>.</w:t>
      </w:r>
      <w:r w:rsidRPr="00C32F1F">
        <w:rPr>
          <w:rFonts w:ascii="Arial" w:eastAsia="Arial" w:hAnsi="Arial" w:cs="Arial"/>
          <w:color w:val="auto"/>
        </w:rPr>
        <w:tab/>
      </w:r>
      <w:r w:rsidR="002A7002" w:rsidRPr="00C32F1F">
        <w:rPr>
          <w:rFonts w:ascii="Arial" w:eastAsia="Arial" w:hAnsi="Arial" w:cs="Arial"/>
          <w:color w:val="auto"/>
        </w:rPr>
        <w:t>[6</w:t>
      </w:r>
      <w:r w:rsidRPr="00C32F1F">
        <w:rPr>
          <w:rFonts w:ascii="Arial" w:eastAsia="Arial" w:hAnsi="Arial" w:cs="Arial"/>
          <w:color w:val="auto"/>
        </w:rPr>
        <w:t>]</w:t>
      </w:r>
    </w:p>
    <w:p w14:paraId="220E9337" w14:textId="428158BA" w:rsidR="009B334F" w:rsidRPr="00C32F1F" w:rsidRDefault="009B334F" w:rsidP="00587172">
      <w:pPr>
        <w:spacing w:after="0" w:line="240" w:lineRule="auto"/>
        <w:rPr>
          <w:rFonts w:ascii="Arial" w:eastAsia="Arial" w:hAnsi="Arial" w:cs="Arial"/>
          <w:b/>
        </w:rPr>
      </w:pPr>
    </w:p>
    <w:p w14:paraId="00B2E712" w14:textId="4A4450A4" w:rsidR="003721E1" w:rsidRPr="00C32F1F" w:rsidRDefault="003721E1" w:rsidP="005F169A">
      <w:pPr>
        <w:numPr>
          <w:ilvl w:val="0"/>
          <w:numId w:val="1"/>
        </w:numPr>
        <w:tabs>
          <w:tab w:val="left" w:pos="567"/>
          <w:tab w:val="right" w:pos="9015"/>
        </w:tabs>
        <w:spacing w:after="0" w:line="240" w:lineRule="auto"/>
        <w:ind w:left="567" w:hanging="567"/>
        <w:contextualSpacing/>
        <w:jc w:val="both"/>
        <w:rPr>
          <w:rFonts w:ascii="Arial" w:eastAsia="Arial" w:hAnsi="Arial" w:cs="Arial"/>
        </w:rPr>
      </w:pPr>
      <w:r w:rsidRPr="00C32F1F">
        <w:rPr>
          <w:rFonts w:ascii="Arial" w:eastAsia="Arial" w:hAnsi="Arial" w:cs="Arial"/>
        </w:rPr>
        <w:t>Discuss the</w:t>
      </w:r>
      <w:r w:rsidR="002D11FA" w:rsidRPr="00C32F1F">
        <w:rPr>
          <w:rFonts w:ascii="Arial" w:eastAsia="Arial" w:hAnsi="Arial" w:cs="Arial"/>
        </w:rPr>
        <w:t xml:space="preserve"> likely impact</w:t>
      </w:r>
      <w:r w:rsidRPr="00C32F1F">
        <w:rPr>
          <w:rFonts w:ascii="Arial" w:eastAsia="Arial" w:hAnsi="Arial" w:cs="Arial"/>
        </w:rPr>
        <w:t xml:space="preserve"> of technology adoption on </w:t>
      </w:r>
      <w:r w:rsidR="009D2878" w:rsidRPr="00C32F1F">
        <w:rPr>
          <w:rFonts w:ascii="Arial" w:eastAsia="Arial" w:hAnsi="Arial" w:cs="Arial"/>
        </w:rPr>
        <w:t>t</w:t>
      </w:r>
      <w:r w:rsidR="0047666A" w:rsidRPr="00C32F1F">
        <w:rPr>
          <w:rFonts w:ascii="Arial" w:eastAsia="Arial" w:hAnsi="Arial" w:cs="Arial"/>
        </w:rPr>
        <w:t>he macro-economies</w:t>
      </w:r>
      <w:r w:rsidR="009D2878" w:rsidRPr="00C32F1F">
        <w:rPr>
          <w:rFonts w:ascii="Arial" w:eastAsia="Arial" w:hAnsi="Arial" w:cs="Arial"/>
        </w:rPr>
        <w:t xml:space="preserve"> of Southeast Asian countries</w:t>
      </w:r>
      <w:r w:rsidRPr="00C32F1F">
        <w:rPr>
          <w:rFonts w:ascii="Arial" w:eastAsia="Times New Roman" w:hAnsi="Arial" w:cs="Arial"/>
          <w:color w:val="121212"/>
        </w:rPr>
        <w:t>.</w:t>
      </w:r>
      <w:r w:rsidR="009D2878" w:rsidRPr="00C32F1F">
        <w:rPr>
          <w:rFonts w:ascii="Arial" w:eastAsia="Arial" w:hAnsi="Arial" w:cs="Arial"/>
        </w:rPr>
        <w:tab/>
        <w:t>[9</w:t>
      </w:r>
      <w:r w:rsidRPr="00C32F1F">
        <w:rPr>
          <w:rFonts w:ascii="Arial" w:eastAsia="Arial" w:hAnsi="Arial" w:cs="Arial"/>
        </w:rPr>
        <w:t>]</w:t>
      </w:r>
    </w:p>
    <w:p w14:paraId="3CC1CC3C" w14:textId="77777777" w:rsidR="00B651A5" w:rsidRPr="00C32F1F" w:rsidRDefault="00B651A5" w:rsidP="00B651A5">
      <w:pPr>
        <w:tabs>
          <w:tab w:val="left" w:pos="567"/>
          <w:tab w:val="right" w:pos="9015"/>
        </w:tabs>
        <w:spacing w:after="0" w:line="240" w:lineRule="auto"/>
        <w:ind w:left="567"/>
        <w:contextualSpacing/>
        <w:jc w:val="both"/>
        <w:rPr>
          <w:rFonts w:ascii="Arial" w:eastAsia="Arial" w:hAnsi="Arial" w:cs="Arial"/>
        </w:rPr>
      </w:pPr>
    </w:p>
    <w:p w14:paraId="1A8BDE37" w14:textId="156BF880" w:rsidR="00716412" w:rsidRPr="00C32F1F" w:rsidRDefault="00716412" w:rsidP="005F169A">
      <w:pPr>
        <w:numPr>
          <w:ilvl w:val="0"/>
          <w:numId w:val="1"/>
        </w:numPr>
        <w:tabs>
          <w:tab w:val="left" w:pos="567"/>
          <w:tab w:val="right" w:pos="9015"/>
        </w:tabs>
        <w:spacing w:after="0" w:line="240" w:lineRule="auto"/>
        <w:ind w:left="567" w:hanging="567"/>
        <w:contextualSpacing/>
        <w:jc w:val="both"/>
        <w:rPr>
          <w:rFonts w:ascii="Arial" w:eastAsia="Arial" w:hAnsi="Arial" w:cs="Arial"/>
          <w:color w:val="auto"/>
        </w:rPr>
      </w:pPr>
      <w:r w:rsidRPr="00C32F1F">
        <w:rPr>
          <w:rFonts w:ascii="Arial" w:hAnsi="Arial" w:cs="Arial"/>
          <w:color w:val="auto"/>
          <w:spacing w:val="-2"/>
          <w:shd w:val="clear" w:color="auto" w:fill="FFFFFF"/>
        </w:rPr>
        <w:t>Extract</w:t>
      </w:r>
      <w:r w:rsidR="00EC7399" w:rsidRPr="00C32F1F">
        <w:rPr>
          <w:rFonts w:ascii="Arial" w:hAnsi="Arial" w:cs="Arial"/>
          <w:color w:val="auto"/>
          <w:spacing w:val="-2"/>
          <w:shd w:val="clear" w:color="auto" w:fill="FFFFFF"/>
        </w:rPr>
        <w:t xml:space="preserve"> 10</w:t>
      </w:r>
      <w:r w:rsidRPr="00C32F1F">
        <w:rPr>
          <w:rFonts w:ascii="Arial" w:hAnsi="Arial" w:cs="Arial"/>
          <w:color w:val="auto"/>
          <w:spacing w:val="-2"/>
          <w:shd w:val="clear" w:color="auto" w:fill="FFFFFF"/>
        </w:rPr>
        <w:t xml:space="preserve"> </w:t>
      </w:r>
      <w:r w:rsidR="00EC7399" w:rsidRPr="00C32F1F">
        <w:rPr>
          <w:rFonts w:ascii="Arial" w:hAnsi="Arial" w:cs="Arial"/>
          <w:color w:val="auto"/>
          <w:spacing w:val="-2"/>
          <w:shd w:val="clear" w:color="auto" w:fill="FFFFFF"/>
        </w:rPr>
        <w:t xml:space="preserve">outlines the challenges that Southeast Asian countries face in pursuing a </w:t>
      </w:r>
      <w:r w:rsidR="00EC7399" w:rsidRPr="00C32F1F">
        <w:rPr>
          <w:rFonts w:ascii="Arial" w:hAnsi="Arial" w:cs="Arial"/>
        </w:rPr>
        <w:t>knowledge, technology and data-driven growth model</w:t>
      </w:r>
      <w:r w:rsidRPr="00C32F1F">
        <w:rPr>
          <w:rFonts w:ascii="Arial" w:eastAsia="Arial" w:hAnsi="Arial" w:cs="Arial"/>
          <w:color w:val="auto"/>
        </w:rPr>
        <w:t>.</w:t>
      </w:r>
      <w:r w:rsidR="000C376A" w:rsidRPr="00C32F1F">
        <w:rPr>
          <w:rFonts w:ascii="Arial" w:eastAsia="Arial" w:hAnsi="Arial" w:cs="Arial"/>
          <w:color w:val="auto"/>
        </w:rPr>
        <w:t xml:space="preserve"> </w:t>
      </w:r>
      <w:r w:rsidRPr="00C32F1F">
        <w:rPr>
          <w:rFonts w:ascii="Arial" w:eastAsia="Arial" w:hAnsi="Arial" w:cs="Arial"/>
        </w:rPr>
        <w:t>Discuss the extent to which Southeast Asian governments may be able to</w:t>
      </w:r>
      <w:r w:rsidR="00EC7399" w:rsidRPr="00C32F1F">
        <w:rPr>
          <w:rFonts w:ascii="Arial" w:eastAsia="Arial" w:hAnsi="Arial" w:cs="Arial"/>
        </w:rPr>
        <w:t xml:space="preserve"> overcome these challenges</w:t>
      </w:r>
      <w:r w:rsidRPr="00C32F1F">
        <w:rPr>
          <w:rFonts w:ascii="Arial" w:eastAsia="Arial" w:hAnsi="Arial" w:cs="Arial"/>
        </w:rPr>
        <w:t xml:space="preserve"> through supply-side policies</w:t>
      </w:r>
      <w:r w:rsidR="00EC7399" w:rsidRPr="00C32F1F">
        <w:rPr>
          <w:rFonts w:ascii="Arial" w:eastAsia="Arial" w:hAnsi="Arial" w:cs="Arial"/>
        </w:rPr>
        <w:t xml:space="preserve"> </w:t>
      </w:r>
      <w:r w:rsidR="00FB6441" w:rsidRPr="00C32F1F">
        <w:rPr>
          <w:rFonts w:ascii="Arial" w:eastAsia="Arial" w:hAnsi="Arial" w:cs="Arial"/>
        </w:rPr>
        <w:t>in ensuring that growth is more inclusive</w:t>
      </w:r>
      <w:r w:rsidRPr="00C32F1F">
        <w:rPr>
          <w:rFonts w:ascii="Arial" w:eastAsia="Times New Roman" w:hAnsi="Arial" w:cs="Arial"/>
          <w:color w:val="121212"/>
        </w:rPr>
        <w:t>.</w:t>
      </w:r>
      <w:r w:rsidRPr="00C32F1F">
        <w:rPr>
          <w:rFonts w:ascii="Arial" w:eastAsia="Arial" w:hAnsi="Arial" w:cs="Arial"/>
        </w:rPr>
        <w:tab/>
        <w:t>[10]</w:t>
      </w:r>
    </w:p>
    <w:p w14:paraId="2E983A87" w14:textId="77777777" w:rsidR="008937CB" w:rsidRPr="00C32F1F" w:rsidRDefault="008937CB" w:rsidP="00587172">
      <w:pPr>
        <w:spacing w:after="0"/>
        <w:ind w:left="567"/>
        <w:rPr>
          <w:rFonts w:ascii="Arial" w:eastAsia="Arial" w:hAnsi="Arial" w:cs="Arial"/>
        </w:rPr>
      </w:pPr>
    </w:p>
    <w:p w14:paraId="65E80ED1" w14:textId="40065250" w:rsidR="00B046E6" w:rsidRPr="00C32F1F" w:rsidRDefault="000F56B3" w:rsidP="00322139">
      <w:pPr>
        <w:tabs>
          <w:tab w:val="left" w:pos="1185"/>
        </w:tabs>
        <w:spacing w:after="0" w:line="240" w:lineRule="auto"/>
        <w:ind w:right="-46"/>
        <w:jc w:val="right"/>
        <w:rPr>
          <w:rFonts w:ascii="Arial" w:eastAsia="Arial" w:hAnsi="Arial" w:cs="Arial"/>
          <w:b/>
        </w:rPr>
      </w:pPr>
      <w:r w:rsidRPr="00C32F1F">
        <w:rPr>
          <w:rFonts w:ascii="Arial" w:eastAsia="Arial" w:hAnsi="Arial" w:cs="Arial"/>
          <w:b/>
        </w:rPr>
        <w:t>[Total: 45]</w:t>
      </w:r>
    </w:p>
    <w:p w14:paraId="4D90ACD1" w14:textId="5FB0123F" w:rsidR="00AB4A39" w:rsidRPr="00C32F1F" w:rsidRDefault="00AB4A39" w:rsidP="00322139">
      <w:pPr>
        <w:tabs>
          <w:tab w:val="left" w:pos="1185"/>
        </w:tabs>
        <w:spacing w:after="0" w:line="240" w:lineRule="auto"/>
        <w:ind w:right="-46"/>
        <w:jc w:val="right"/>
        <w:rPr>
          <w:rFonts w:ascii="Arial" w:eastAsia="Arial" w:hAnsi="Arial" w:cs="Arial"/>
          <w:b/>
        </w:rPr>
      </w:pPr>
    </w:p>
    <w:p w14:paraId="14E55B2E" w14:textId="16CB67A8" w:rsidR="00AB4A39" w:rsidRPr="00511B04" w:rsidRDefault="00AB4A39" w:rsidP="00511B04">
      <w:pPr>
        <w:rPr>
          <w:rFonts w:ascii="Arial" w:eastAsia="Arial" w:hAnsi="Arial" w:cs="Arial"/>
          <w:b/>
        </w:rPr>
      </w:pPr>
    </w:p>
    <w:sectPr w:rsidR="00AB4A39" w:rsidRPr="00511B04" w:rsidSect="008C11D1">
      <w:headerReference w:type="default" r:id="rId9"/>
      <w:footerReference w:type="default" r:id="rId10"/>
      <w:headerReference w:type="first" r:id="rId11"/>
      <w:pgSz w:w="11906" w:h="16838"/>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7E3A" w14:textId="77777777" w:rsidR="001F6155" w:rsidRDefault="001F6155">
      <w:pPr>
        <w:spacing w:after="0" w:line="240" w:lineRule="auto"/>
      </w:pPr>
      <w:r>
        <w:separator/>
      </w:r>
    </w:p>
  </w:endnote>
  <w:endnote w:type="continuationSeparator" w:id="0">
    <w:p w14:paraId="0D3630E7" w14:textId="77777777" w:rsidR="001F6155" w:rsidRDefault="001F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ha">
    <w:altName w:val="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3ECC" w14:textId="23C29B4C" w:rsidR="00D03A89" w:rsidRDefault="00D0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54D5" w14:textId="77777777" w:rsidR="001F6155" w:rsidRDefault="001F6155">
      <w:pPr>
        <w:spacing w:after="0" w:line="240" w:lineRule="auto"/>
      </w:pPr>
      <w:r>
        <w:separator/>
      </w:r>
    </w:p>
  </w:footnote>
  <w:footnote w:type="continuationSeparator" w:id="0">
    <w:p w14:paraId="317CD80B" w14:textId="77777777" w:rsidR="001F6155" w:rsidRDefault="001F6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224B" w14:textId="77777777" w:rsidR="00D03A89" w:rsidRDefault="00D03A89">
    <w:pPr>
      <w:pStyle w:val="Header"/>
    </w:pPr>
    <w:r>
      <w:tab/>
    </w:r>
  </w:p>
  <w:p w14:paraId="0F034D3F" w14:textId="77777777" w:rsidR="00D03A89" w:rsidRDefault="00D03A89">
    <w:pPr>
      <w:pStyle w:val="Header"/>
    </w:pPr>
  </w:p>
  <w:p w14:paraId="7A10EA08" w14:textId="77777777" w:rsidR="00D03A89" w:rsidRDefault="00D03A89">
    <w:pPr>
      <w:pStyle w:val="Header"/>
    </w:pPr>
  </w:p>
  <w:p w14:paraId="0CFF6EC1" w14:textId="1A89B84E" w:rsidR="00D03A89" w:rsidRDefault="00D03A89">
    <w:pPr>
      <w:pStyle w:val="Header"/>
    </w:pPr>
    <w:r>
      <w:tab/>
    </w:r>
  </w:p>
  <w:p w14:paraId="7F95C152" w14:textId="6761148C" w:rsidR="00D03A89" w:rsidRPr="00402D83" w:rsidRDefault="00D03A89" w:rsidP="00402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838D" w14:textId="7F9EF173" w:rsidR="00D03A89" w:rsidRDefault="00D03A89">
    <w:pPr>
      <w:pStyle w:val="Header"/>
      <w:jc w:val="center"/>
    </w:pPr>
  </w:p>
  <w:p w14:paraId="05791E5D" w14:textId="77777777" w:rsidR="00D03A89" w:rsidRDefault="00D03A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DA4"/>
    <w:multiLevelType w:val="hybridMultilevel"/>
    <w:tmpl w:val="A7CA8A5A"/>
    <w:lvl w:ilvl="0" w:tplc="2EA27A7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E24EE6"/>
    <w:multiLevelType w:val="hybridMultilevel"/>
    <w:tmpl w:val="8B084688"/>
    <w:lvl w:ilvl="0" w:tplc="5254D552">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04BCB"/>
    <w:multiLevelType w:val="hybridMultilevel"/>
    <w:tmpl w:val="0290B2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721F66"/>
    <w:multiLevelType w:val="hybridMultilevel"/>
    <w:tmpl w:val="1CB23CEE"/>
    <w:lvl w:ilvl="0" w:tplc="A748F35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9742D2"/>
    <w:multiLevelType w:val="hybridMultilevel"/>
    <w:tmpl w:val="3312A7F6"/>
    <w:lvl w:ilvl="0" w:tplc="F1F63282">
      <w:start w:val="3"/>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717E6"/>
    <w:multiLevelType w:val="hybridMultilevel"/>
    <w:tmpl w:val="F336F3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29B2D77"/>
    <w:multiLevelType w:val="hybridMultilevel"/>
    <w:tmpl w:val="D510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136C5"/>
    <w:multiLevelType w:val="hybridMultilevel"/>
    <w:tmpl w:val="E05CAC9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435C6544"/>
    <w:multiLevelType w:val="hybridMultilevel"/>
    <w:tmpl w:val="648CA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E978E4"/>
    <w:multiLevelType w:val="multilevel"/>
    <w:tmpl w:val="A8066C12"/>
    <w:lvl w:ilvl="0">
      <w:start w:val="1"/>
      <w:numFmt w:val="lowerLetter"/>
      <w:lvlText w:val="(%1)"/>
      <w:lvlJc w:val="left"/>
      <w:pPr>
        <w:ind w:left="360" w:hanging="360"/>
      </w:pPr>
      <w:rPr>
        <w:b/>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3397FD7"/>
    <w:multiLevelType w:val="hybridMultilevel"/>
    <w:tmpl w:val="2396BAB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386177"/>
    <w:multiLevelType w:val="hybridMultilevel"/>
    <w:tmpl w:val="C43A7510"/>
    <w:lvl w:ilvl="0" w:tplc="A6F0C9C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993B4F"/>
    <w:multiLevelType w:val="hybridMultilevel"/>
    <w:tmpl w:val="F304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255885"/>
    <w:multiLevelType w:val="hybridMultilevel"/>
    <w:tmpl w:val="7AEA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5A19D9"/>
    <w:multiLevelType w:val="hybridMultilevel"/>
    <w:tmpl w:val="A93E5734"/>
    <w:lvl w:ilvl="0" w:tplc="27BA695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0A1B72"/>
    <w:multiLevelType w:val="hybridMultilevel"/>
    <w:tmpl w:val="44E8F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35732A7"/>
    <w:multiLevelType w:val="hybridMultilevel"/>
    <w:tmpl w:val="C2D84DC8"/>
    <w:lvl w:ilvl="0" w:tplc="7778AD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1797F"/>
    <w:multiLevelType w:val="hybridMultilevel"/>
    <w:tmpl w:val="BA409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D604E5"/>
    <w:multiLevelType w:val="hybridMultilevel"/>
    <w:tmpl w:val="DC2C44D0"/>
    <w:lvl w:ilvl="0" w:tplc="3768130A">
      <w:start w:val="2"/>
      <w:numFmt w:val="bullet"/>
      <w:lvlText w:val="-"/>
      <w:lvlJc w:val="left"/>
      <w:pPr>
        <w:ind w:left="360" w:hanging="360"/>
      </w:pPr>
      <w:rPr>
        <w:rFonts w:ascii="Arial" w:eastAsiaTheme="minorEastAsia"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CA11DE"/>
    <w:multiLevelType w:val="hybridMultilevel"/>
    <w:tmpl w:val="3698EDC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9"/>
  </w:num>
  <w:num w:numId="2">
    <w:abstractNumId w:val="19"/>
  </w:num>
  <w:num w:numId="3">
    <w:abstractNumId w:val="1"/>
  </w:num>
  <w:num w:numId="4">
    <w:abstractNumId w:val="16"/>
  </w:num>
  <w:num w:numId="5">
    <w:abstractNumId w:val="6"/>
  </w:num>
  <w:num w:numId="6">
    <w:abstractNumId w:val="10"/>
  </w:num>
  <w:num w:numId="7">
    <w:abstractNumId w:val="11"/>
  </w:num>
  <w:num w:numId="8">
    <w:abstractNumId w:val="3"/>
  </w:num>
  <w:num w:numId="9">
    <w:abstractNumId w:val="12"/>
  </w:num>
  <w:num w:numId="10">
    <w:abstractNumId w:val="18"/>
  </w:num>
  <w:num w:numId="11">
    <w:abstractNumId w:val="2"/>
  </w:num>
  <w:num w:numId="12">
    <w:abstractNumId w:val="14"/>
  </w:num>
  <w:num w:numId="13">
    <w:abstractNumId w:val="0"/>
  </w:num>
  <w:num w:numId="14">
    <w:abstractNumId w:val="5"/>
  </w:num>
  <w:num w:numId="15">
    <w:abstractNumId w:val="15"/>
  </w:num>
  <w:num w:numId="16">
    <w:abstractNumId w:val="7"/>
  </w:num>
  <w:num w:numId="17">
    <w:abstractNumId w:val="8"/>
  </w:num>
  <w:num w:numId="18">
    <w:abstractNumId w:val="13"/>
  </w:num>
  <w:num w:numId="19">
    <w:abstractNumId w:val="17"/>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activeWritingStyle w:appName="MSWord" w:lang="en-SG" w:vendorID="64" w:dllVersion="6" w:nlCheck="1" w:checkStyle="0"/>
  <w:activeWritingStyle w:appName="MSWord" w:lang="en-GB" w:vendorID="64" w:dllVersion="6" w:nlCheck="1" w:checkStyle="1"/>
  <w:activeWritingStyle w:appName="MSWord" w:lang="en-US" w:vendorID="64" w:dllVersion="6" w:nlCheck="1" w:checkStyle="1"/>
  <w:activeWritingStyle w:appName="MSWord" w:lang="en-SG"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ACB"/>
    <w:rsid w:val="00000A9E"/>
    <w:rsid w:val="00000AA5"/>
    <w:rsid w:val="00002AA7"/>
    <w:rsid w:val="00004196"/>
    <w:rsid w:val="000066E9"/>
    <w:rsid w:val="0000788E"/>
    <w:rsid w:val="00010A27"/>
    <w:rsid w:val="00012F45"/>
    <w:rsid w:val="000170DB"/>
    <w:rsid w:val="00017E6D"/>
    <w:rsid w:val="00020058"/>
    <w:rsid w:val="00021F10"/>
    <w:rsid w:val="000223EC"/>
    <w:rsid w:val="00022D57"/>
    <w:rsid w:val="00024564"/>
    <w:rsid w:val="00024721"/>
    <w:rsid w:val="000268C8"/>
    <w:rsid w:val="0003346B"/>
    <w:rsid w:val="00033AD1"/>
    <w:rsid w:val="000341A8"/>
    <w:rsid w:val="000356F4"/>
    <w:rsid w:val="000358CC"/>
    <w:rsid w:val="000370BB"/>
    <w:rsid w:val="00037A14"/>
    <w:rsid w:val="000402C5"/>
    <w:rsid w:val="000413A4"/>
    <w:rsid w:val="0004350D"/>
    <w:rsid w:val="00043A24"/>
    <w:rsid w:val="00044007"/>
    <w:rsid w:val="00044836"/>
    <w:rsid w:val="00045CC1"/>
    <w:rsid w:val="00053106"/>
    <w:rsid w:val="00053460"/>
    <w:rsid w:val="00054E32"/>
    <w:rsid w:val="00057202"/>
    <w:rsid w:val="00057CE1"/>
    <w:rsid w:val="0006154A"/>
    <w:rsid w:val="000626CD"/>
    <w:rsid w:val="0006296C"/>
    <w:rsid w:val="000647D8"/>
    <w:rsid w:val="000661C8"/>
    <w:rsid w:val="00070B75"/>
    <w:rsid w:val="000764E9"/>
    <w:rsid w:val="00077F27"/>
    <w:rsid w:val="00082D1B"/>
    <w:rsid w:val="0009101D"/>
    <w:rsid w:val="000926BE"/>
    <w:rsid w:val="000940A5"/>
    <w:rsid w:val="000941D4"/>
    <w:rsid w:val="00096C44"/>
    <w:rsid w:val="0009794F"/>
    <w:rsid w:val="000A14B3"/>
    <w:rsid w:val="000A25C4"/>
    <w:rsid w:val="000A3EF7"/>
    <w:rsid w:val="000B44E3"/>
    <w:rsid w:val="000B4B5E"/>
    <w:rsid w:val="000B6747"/>
    <w:rsid w:val="000B67D3"/>
    <w:rsid w:val="000B700C"/>
    <w:rsid w:val="000B7A18"/>
    <w:rsid w:val="000C161C"/>
    <w:rsid w:val="000C376A"/>
    <w:rsid w:val="000C442A"/>
    <w:rsid w:val="000C64FF"/>
    <w:rsid w:val="000C6CD8"/>
    <w:rsid w:val="000C7DBC"/>
    <w:rsid w:val="000D0170"/>
    <w:rsid w:val="000D3689"/>
    <w:rsid w:val="000D4E0D"/>
    <w:rsid w:val="000D540F"/>
    <w:rsid w:val="000D667A"/>
    <w:rsid w:val="000D6837"/>
    <w:rsid w:val="000E1079"/>
    <w:rsid w:val="000E44CB"/>
    <w:rsid w:val="000E4AF8"/>
    <w:rsid w:val="000E6C7B"/>
    <w:rsid w:val="000F0B6A"/>
    <w:rsid w:val="000F2978"/>
    <w:rsid w:val="000F3E04"/>
    <w:rsid w:val="000F56B3"/>
    <w:rsid w:val="000F5A91"/>
    <w:rsid w:val="000F70B4"/>
    <w:rsid w:val="000F77A9"/>
    <w:rsid w:val="00100BFA"/>
    <w:rsid w:val="00106804"/>
    <w:rsid w:val="001068F3"/>
    <w:rsid w:val="00106DFD"/>
    <w:rsid w:val="001102C7"/>
    <w:rsid w:val="001103A9"/>
    <w:rsid w:val="00112FAF"/>
    <w:rsid w:val="00113643"/>
    <w:rsid w:val="00116D6F"/>
    <w:rsid w:val="00121111"/>
    <w:rsid w:val="001234B6"/>
    <w:rsid w:val="00123F64"/>
    <w:rsid w:val="00124179"/>
    <w:rsid w:val="001261D4"/>
    <w:rsid w:val="00126774"/>
    <w:rsid w:val="00131AD7"/>
    <w:rsid w:val="00134463"/>
    <w:rsid w:val="001415AD"/>
    <w:rsid w:val="00145A25"/>
    <w:rsid w:val="001460CD"/>
    <w:rsid w:val="00146CE3"/>
    <w:rsid w:val="00153D7B"/>
    <w:rsid w:val="00153E51"/>
    <w:rsid w:val="001547BF"/>
    <w:rsid w:val="001561ED"/>
    <w:rsid w:val="0015623F"/>
    <w:rsid w:val="00157E85"/>
    <w:rsid w:val="00160E85"/>
    <w:rsid w:val="00163899"/>
    <w:rsid w:val="00173C8C"/>
    <w:rsid w:val="00174475"/>
    <w:rsid w:val="00174AEC"/>
    <w:rsid w:val="001809E5"/>
    <w:rsid w:val="0018180D"/>
    <w:rsid w:val="00184298"/>
    <w:rsid w:val="00187F58"/>
    <w:rsid w:val="001916F5"/>
    <w:rsid w:val="00192FDA"/>
    <w:rsid w:val="00196D9A"/>
    <w:rsid w:val="001A1A90"/>
    <w:rsid w:val="001A691F"/>
    <w:rsid w:val="001A7B89"/>
    <w:rsid w:val="001B368F"/>
    <w:rsid w:val="001B3E71"/>
    <w:rsid w:val="001B505C"/>
    <w:rsid w:val="001B5BA0"/>
    <w:rsid w:val="001B6574"/>
    <w:rsid w:val="001B7AB2"/>
    <w:rsid w:val="001C0E1D"/>
    <w:rsid w:val="001C1FD8"/>
    <w:rsid w:val="001C2C77"/>
    <w:rsid w:val="001C3CC2"/>
    <w:rsid w:val="001C5310"/>
    <w:rsid w:val="001C569E"/>
    <w:rsid w:val="001C669C"/>
    <w:rsid w:val="001C7680"/>
    <w:rsid w:val="001D03E3"/>
    <w:rsid w:val="001D0C94"/>
    <w:rsid w:val="001D369A"/>
    <w:rsid w:val="001D481C"/>
    <w:rsid w:val="001D495B"/>
    <w:rsid w:val="001D5C17"/>
    <w:rsid w:val="001D75FE"/>
    <w:rsid w:val="001E01BB"/>
    <w:rsid w:val="001E0707"/>
    <w:rsid w:val="001E2E09"/>
    <w:rsid w:val="001E3025"/>
    <w:rsid w:val="001E326E"/>
    <w:rsid w:val="001E36C5"/>
    <w:rsid w:val="001E5386"/>
    <w:rsid w:val="001E5E6A"/>
    <w:rsid w:val="001E5F5D"/>
    <w:rsid w:val="001E682D"/>
    <w:rsid w:val="001E71DE"/>
    <w:rsid w:val="001F0C45"/>
    <w:rsid w:val="001F41C2"/>
    <w:rsid w:val="001F4510"/>
    <w:rsid w:val="001F4AF4"/>
    <w:rsid w:val="001F6155"/>
    <w:rsid w:val="001F7CD6"/>
    <w:rsid w:val="002002BB"/>
    <w:rsid w:val="00201883"/>
    <w:rsid w:val="00204604"/>
    <w:rsid w:val="00205FDF"/>
    <w:rsid w:val="00206A78"/>
    <w:rsid w:val="00213B76"/>
    <w:rsid w:val="002215D3"/>
    <w:rsid w:val="00222ED7"/>
    <w:rsid w:val="00223808"/>
    <w:rsid w:val="00224875"/>
    <w:rsid w:val="00225D3A"/>
    <w:rsid w:val="00225F30"/>
    <w:rsid w:val="002268C9"/>
    <w:rsid w:val="00230CB7"/>
    <w:rsid w:val="00236574"/>
    <w:rsid w:val="0023753B"/>
    <w:rsid w:val="00240079"/>
    <w:rsid w:val="00240BD1"/>
    <w:rsid w:val="0024138D"/>
    <w:rsid w:val="00241F9C"/>
    <w:rsid w:val="002436BA"/>
    <w:rsid w:val="00243E37"/>
    <w:rsid w:val="00244167"/>
    <w:rsid w:val="002454E0"/>
    <w:rsid w:val="00245EA8"/>
    <w:rsid w:val="00252649"/>
    <w:rsid w:val="00253B11"/>
    <w:rsid w:val="0025603E"/>
    <w:rsid w:val="0026027E"/>
    <w:rsid w:val="00260D08"/>
    <w:rsid w:val="00262C92"/>
    <w:rsid w:val="00267C64"/>
    <w:rsid w:val="00267EF3"/>
    <w:rsid w:val="002810F0"/>
    <w:rsid w:val="002827F9"/>
    <w:rsid w:val="002853B4"/>
    <w:rsid w:val="002857B0"/>
    <w:rsid w:val="002859FC"/>
    <w:rsid w:val="00286531"/>
    <w:rsid w:val="00287D27"/>
    <w:rsid w:val="00287F79"/>
    <w:rsid w:val="0029162B"/>
    <w:rsid w:val="00291ADD"/>
    <w:rsid w:val="00291C5A"/>
    <w:rsid w:val="00292243"/>
    <w:rsid w:val="00292765"/>
    <w:rsid w:val="00294D9E"/>
    <w:rsid w:val="002A3CFC"/>
    <w:rsid w:val="002A4F8C"/>
    <w:rsid w:val="002A5E3E"/>
    <w:rsid w:val="002A7002"/>
    <w:rsid w:val="002B0071"/>
    <w:rsid w:val="002B1B0E"/>
    <w:rsid w:val="002B2DF0"/>
    <w:rsid w:val="002B48A9"/>
    <w:rsid w:val="002B6E29"/>
    <w:rsid w:val="002B76E6"/>
    <w:rsid w:val="002B77FF"/>
    <w:rsid w:val="002C0083"/>
    <w:rsid w:val="002C0494"/>
    <w:rsid w:val="002C1145"/>
    <w:rsid w:val="002C2659"/>
    <w:rsid w:val="002C273D"/>
    <w:rsid w:val="002C2852"/>
    <w:rsid w:val="002C2EC4"/>
    <w:rsid w:val="002C3371"/>
    <w:rsid w:val="002C3399"/>
    <w:rsid w:val="002C4F0C"/>
    <w:rsid w:val="002C6F59"/>
    <w:rsid w:val="002C787C"/>
    <w:rsid w:val="002D013F"/>
    <w:rsid w:val="002D11FA"/>
    <w:rsid w:val="002D2F05"/>
    <w:rsid w:val="002D5EC5"/>
    <w:rsid w:val="002D606B"/>
    <w:rsid w:val="002E2966"/>
    <w:rsid w:val="002E34CF"/>
    <w:rsid w:val="002E39A9"/>
    <w:rsid w:val="002E3D12"/>
    <w:rsid w:val="002E3F64"/>
    <w:rsid w:val="002E5293"/>
    <w:rsid w:val="002E5723"/>
    <w:rsid w:val="002E753D"/>
    <w:rsid w:val="002F0731"/>
    <w:rsid w:val="002F33FB"/>
    <w:rsid w:val="002F39D4"/>
    <w:rsid w:val="002F4D71"/>
    <w:rsid w:val="002F5A73"/>
    <w:rsid w:val="002F5DD0"/>
    <w:rsid w:val="002F696B"/>
    <w:rsid w:val="00300F6C"/>
    <w:rsid w:val="00301750"/>
    <w:rsid w:val="00301C10"/>
    <w:rsid w:val="003064CA"/>
    <w:rsid w:val="00311231"/>
    <w:rsid w:val="003121F4"/>
    <w:rsid w:val="00312A42"/>
    <w:rsid w:val="00313356"/>
    <w:rsid w:val="00313805"/>
    <w:rsid w:val="00315A2C"/>
    <w:rsid w:val="00315CD8"/>
    <w:rsid w:val="0031653A"/>
    <w:rsid w:val="003201CA"/>
    <w:rsid w:val="00322139"/>
    <w:rsid w:val="003223E8"/>
    <w:rsid w:val="0032293C"/>
    <w:rsid w:val="00333861"/>
    <w:rsid w:val="00334DDB"/>
    <w:rsid w:val="00334ECF"/>
    <w:rsid w:val="00335A2D"/>
    <w:rsid w:val="00341002"/>
    <w:rsid w:val="003413CA"/>
    <w:rsid w:val="003451C6"/>
    <w:rsid w:val="00346B1A"/>
    <w:rsid w:val="00346EC8"/>
    <w:rsid w:val="0035008F"/>
    <w:rsid w:val="003525CD"/>
    <w:rsid w:val="00352751"/>
    <w:rsid w:val="003528ED"/>
    <w:rsid w:val="00353077"/>
    <w:rsid w:val="003535FD"/>
    <w:rsid w:val="00353B73"/>
    <w:rsid w:val="003561AB"/>
    <w:rsid w:val="00356C42"/>
    <w:rsid w:val="00361D28"/>
    <w:rsid w:val="003625A8"/>
    <w:rsid w:val="00364404"/>
    <w:rsid w:val="003650BC"/>
    <w:rsid w:val="00365C99"/>
    <w:rsid w:val="003679B1"/>
    <w:rsid w:val="003721E1"/>
    <w:rsid w:val="003753D2"/>
    <w:rsid w:val="00375860"/>
    <w:rsid w:val="003767E0"/>
    <w:rsid w:val="00376A54"/>
    <w:rsid w:val="003775E4"/>
    <w:rsid w:val="00381549"/>
    <w:rsid w:val="003817C3"/>
    <w:rsid w:val="00382E1E"/>
    <w:rsid w:val="00383BCC"/>
    <w:rsid w:val="00385371"/>
    <w:rsid w:val="0038558B"/>
    <w:rsid w:val="00386C99"/>
    <w:rsid w:val="003901CD"/>
    <w:rsid w:val="00391832"/>
    <w:rsid w:val="00391D1E"/>
    <w:rsid w:val="003939F3"/>
    <w:rsid w:val="003953A1"/>
    <w:rsid w:val="00395D60"/>
    <w:rsid w:val="003A24DE"/>
    <w:rsid w:val="003A4661"/>
    <w:rsid w:val="003A78D0"/>
    <w:rsid w:val="003A7946"/>
    <w:rsid w:val="003B08CB"/>
    <w:rsid w:val="003B0F2C"/>
    <w:rsid w:val="003B0FD7"/>
    <w:rsid w:val="003B101B"/>
    <w:rsid w:val="003B2770"/>
    <w:rsid w:val="003B3BA8"/>
    <w:rsid w:val="003B5E37"/>
    <w:rsid w:val="003B714F"/>
    <w:rsid w:val="003B73D3"/>
    <w:rsid w:val="003C0872"/>
    <w:rsid w:val="003C12B6"/>
    <w:rsid w:val="003C1528"/>
    <w:rsid w:val="003C16AA"/>
    <w:rsid w:val="003C173B"/>
    <w:rsid w:val="003C67E6"/>
    <w:rsid w:val="003C6A7F"/>
    <w:rsid w:val="003D4FE4"/>
    <w:rsid w:val="003D64CF"/>
    <w:rsid w:val="003D74F3"/>
    <w:rsid w:val="003E2674"/>
    <w:rsid w:val="003E28FD"/>
    <w:rsid w:val="003E2CD8"/>
    <w:rsid w:val="003E2D06"/>
    <w:rsid w:val="003E32F6"/>
    <w:rsid w:val="003E3F27"/>
    <w:rsid w:val="003E5196"/>
    <w:rsid w:val="003E5C07"/>
    <w:rsid w:val="003E7549"/>
    <w:rsid w:val="003F06DD"/>
    <w:rsid w:val="003F3259"/>
    <w:rsid w:val="003F727E"/>
    <w:rsid w:val="00400DFF"/>
    <w:rsid w:val="004029EF"/>
    <w:rsid w:val="00402D83"/>
    <w:rsid w:val="00403009"/>
    <w:rsid w:val="00404998"/>
    <w:rsid w:val="00405325"/>
    <w:rsid w:val="00410962"/>
    <w:rsid w:val="004110D7"/>
    <w:rsid w:val="004129D8"/>
    <w:rsid w:val="00412EA0"/>
    <w:rsid w:val="0041431B"/>
    <w:rsid w:val="00414C96"/>
    <w:rsid w:val="004166CD"/>
    <w:rsid w:val="0041762D"/>
    <w:rsid w:val="004201C5"/>
    <w:rsid w:val="004215DC"/>
    <w:rsid w:val="00422E28"/>
    <w:rsid w:val="004307A3"/>
    <w:rsid w:val="004312A8"/>
    <w:rsid w:val="00431644"/>
    <w:rsid w:val="00432B00"/>
    <w:rsid w:val="00433E5E"/>
    <w:rsid w:val="00436309"/>
    <w:rsid w:val="00445433"/>
    <w:rsid w:val="0044548E"/>
    <w:rsid w:val="00445602"/>
    <w:rsid w:val="00446358"/>
    <w:rsid w:val="00447379"/>
    <w:rsid w:val="0045407B"/>
    <w:rsid w:val="004602C7"/>
    <w:rsid w:val="004618C6"/>
    <w:rsid w:val="0046363E"/>
    <w:rsid w:val="004645FA"/>
    <w:rsid w:val="00465F16"/>
    <w:rsid w:val="00467C51"/>
    <w:rsid w:val="00472FD4"/>
    <w:rsid w:val="00473B7F"/>
    <w:rsid w:val="00475533"/>
    <w:rsid w:val="00475C97"/>
    <w:rsid w:val="004763D8"/>
    <w:rsid w:val="0047666A"/>
    <w:rsid w:val="00480674"/>
    <w:rsid w:val="00481C96"/>
    <w:rsid w:val="00485107"/>
    <w:rsid w:val="0048606C"/>
    <w:rsid w:val="004864E9"/>
    <w:rsid w:val="004869A9"/>
    <w:rsid w:val="00486CFD"/>
    <w:rsid w:val="00486EFE"/>
    <w:rsid w:val="00486FF2"/>
    <w:rsid w:val="00490B0C"/>
    <w:rsid w:val="00491633"/>
    <w:rsid w:val="00491D0B"/>
    <w:rsid w:val="00492095"/>
    <w:rsid w:val="0049229B"/>
    <w:rsid w:val="0049235D"/>
    <w:rsid w:val="00492F30"/>
    <w:rsid w:val="00496C4C"/>
    <w:rsid w:val="00497789"/>
    <w:rsid w:val="004977CE"/>
    <w:rsid w:val="004A0DBA"/>
    <w:rsid w:val="004A218E"/>
    <w:rsid w:val="004A405F"/>
    <w:rsid w:val="004A43D6"/>
    <w:rsid w:val="004A6A73"/>
    <w:rsid w:val="004B1076"/>
    <w:rsid w:val="004B1AE8"/>
    <w:rsid w:val="004B2FC5"/>
    <w:rsid w:val="004B6340"/>
    <w:rsid w:val="004B6925"/>
    <w:rsid w:val="004B76CE"/>
    <w:rsid w:val="004C05FB"/>
    <w:rsid w:val="004C5A05"/>
    <w:rsid w:val="004C5AA8"/>
    <w:rsid w:val="004C6803"/>
    <w:rsid w:val="004D529F"/>
    <w:rsid w:val="004D6287"/>
    <w:rsid w:val="004D63BD"/>
    <w:rsid w:val="004D6986"/>
    <w:rsid w:val="004E2270"/>
    <w:rsid w:val="004E22B0"/>
    <w:rsid w:val="004E32FF"/>
    <w:rsid w:val="004E5261"/>
    <w:rsid w:val="004E5696"/>
    <w:rsid w:val="004E7361"/>
    <w:rsid w:val="004F2D77"/>
    <w:rsid w:val="004F32DD"/>
    <w:rsid w:val="004F3510"/>
    <w:rsid w:val="004F3940"/>
    <w:rsid w:val="004F4400"/>
    <w:rsid w:val="004F441A"/>
    <w:rsid w:val="004F7222"/>
    <w:rsid w:val="00500305"/>
    <w:rsid w:val="005009D3"/>
    <w:rsid w:val="005025EA"/>
    <w:rsid w:val="00502649"/>
    <w:rsid w:val="00503A8E"/>
    <w:rsid w:val="00503AD9"/>
    <w:rsid w:val="00503D60"/>
    <w:rsid w:val="005060A5"/>
    <w:rsid w:val="0050699C"/>
    <w:rsid w:val="0051000B"/>
    <w:rsid w:val="005108B7"/>
    <w:rsid w:val="00511B04"/>
    <w:rsid w:val="00511D2A"/>
    <w:rsid w:val="00512BFA"/>
    <w:rsid w:val="005155DA"/>
    <w:rsid w:val="005208B8"/>
    <w:rsid w:val="00524209"/>
    <w:rsid w:val="00524794"/>
    <w:rsid w:val="005278D7"/>
    <w:rsid w:val="00527A69"/>
    <w:rsid w:val="00533649"/>
    <w:rsid w:val="00535118"/>
    <w:rsid w:val="005442F3"/>
    <w:rsid w:val="005451AB"/>
    <w:rsid w:val="0054613C"/>
    <w:rsid w:val="00547756"/>
    <w:rsid w:val="00551AC9"/>
    <w:rsid w:val="00553AFC"/>
    <w:rsid w:val="00555C5E"/>
    <w:rsid w:val="0055764E"/>
    <w:rsid w:val="00561190"/>
    <w:rsid w:val="00561917"/>
    <w:rsid w:val="00561FCF"/>
    <w:rsid w:val="005630C7"/>
    <w:rsid w:val="005714F7"/>
    <w:rsid w:val="00575B0C"/>
    <w:rsid w:val="00576995"/>
    <w:rsid w:val="00581948"/>
    <w:rsid w:val="00581A13"/>
    <w:rsid w:val="00583182"/>
    <w:rsid w:val="005839D5"/>
    <w:rsid w:val="00583A8C"/>
    <w:rsid w:val="00584291"/>
    <w:rsid w:val="005870D7"/>
    <w:rsid w:val="00587172"/>
    <w:rsid w:val="00587344"/>
    <w:rsid w:val="00587E2B"/>
    <w:rsid w:val="00591A7F"/>
    <w:rsid w:val="0059258B"/>
    <w:rsid w:val="00594508"/>
    <w:rsid w:val="005A1498"/>
    <w:rsid w:val="005A4FEB"/>
    <w:rsid w:val="005A59CC"/>
    <w:rsid w:val="005A6428"/>
    <w:rsid w:val="005B1DFE"/>
    <w:rsid w:val="005B4B02"/>
    <w:rsid w:val="005B7BA5"/>
    <w:rsid w:val="005C1D7F"/>
    <w:rsid w:val="005C7723"/>
    <w:rsid w:val="005D0158"/>
    <w:rsid w:val="005D03B3"/>
    <w:rsid w:val="005D76CE"/>
    <w:rsid w:val="005E08D8"/>
    <w:rsid w:val="005E1ED9"/>
    <w:rsid w:val="005E2E64"/>
    <w:rsid w:val="005E3CAE"/>
    <w:rsid w:val="005E61C0"/>
    <w:rsid w:val="005F0955"/>
    <w:rsid w:val="005F169A"/>
    <w:rsid w:val="005F5411"/>
    <w:rsid w:val="0060199F"/>
    <w:rsid w:val="00601B13"/>
    <w:rsid w:val="006027FC"/>
    <w:rsid w:val="00605047"/>
    <w:rsid w:val="00605474"/>
    <w:rsid w:val="00607496"/>
    <w:rsid w:val="006079B1"/>
    <w:rsid w:val="006125E9"/>
    <w:rsid w:val="00614CE9"/>
    <w:rsid w:val="00615346"/>
    <w:rsid w:val="00615D83"/>
    <w:rsid w:val="00616557"/>
    <w:rsid w:val="00616A5F"/>
    <w:rsid w:val="00620731"/>
    <w:rsid w:val="006234DF"/>
    <w:rsid w:val="00623B31"/>
    <w:rsid w:val="006331B4"/>
    <w:rsid w:val="00633410"/>
    <w:rsid w:val="0063780F"/>
    <w:rsid w:val="00640D8C"/>
    <w:rsid w:val="00640F44"/>
    <w:rsid w:val="006421A5"/>
    <w:rsid w:val="00642828"/>
    <w:rsid w:val="006440C2"/>
    <w:rsid w:val="006442F4"/>
    <w:rsid w:val="00644DA1"/>
    <w:rsid w:val="00644FA9"/>
    <w:rsid w:val="00645E1E"/>
    <w:rsid w:val="00646E99"/>
    <w:rsid w:val="0065060D"/>
    <w:rsid w:val="00651825"/>
    <w:rsid w:val="00651D27"/>
    <w:rsid w:val="00653B85"/>
    <w:rsid w:val="00654B50"/>
    <w:rsid w:val="00655CD8"/>
    <w:rsid w:val="006566C3"/>
    <w:rsid w:val="0065754D"/>
    <w:rsid w:val="00657BDC"/>
    <w:rsid w:val="00657D7D"/>
    <w:rsid w:val="00660211"/>
    <w:rsid w:val="00660965"/>
    <w:rsid w:val="00660C1B"/>
    <w:rsid w:val="00660C88"/>
    <w:rsid w:val="00660EFF"/>
    <w:rsid w:val="006641A6"/>
    <w:rsid w:val="00666805"/>
    <w:rsid w:val="00666FF4"/>
    <w:rsid w:val="0067290A"/>
    <w:rsid w:val="00672B55"/>
    <w:rsid w:val="00674F10"/>
    <w:rsid w:val="006759F5"/>
    <w:rsid w:val="006766D8"/>
    <w:rsid w:val="006769E9"/>
    <w:rsid w:val="00680013"/>
    <w:rsid w:val="0068098C"/>
    <w:rsid w:val="00682265"/>
    <w:rsid w:val="00682B5A"/>
    <w:rsid w:val="00683C87"/>
    <w:rsid w:val="006846F3"/>
    <w:rsid w:val="00685AE6"/>
    <w:rsid w:val="0069007B"/>
    <w:rsid w:val="00693C30"/>
    <w:rsid w:val="00695E0C"/>
    <w:rsid w:val="00697C6C"/>
    <w:rsid w:val="006A0BC6"/>
    <w:rsid w:val="006A17FE"/>
    <w:rsid w:val="006A4331"/>
    <w:rsid w:val="006A497A"/>
    <w:rsid w:val="006A5DC9"/>
    <w:rsid w:val="006A6707"/>
    <w:rsid w:val="006A7483"/>
    <w:rsid w:val="006B1933"/>
    <w:rsid w:val="006B26C9"/>
    <w:rsid w:val="006B2F3F"/>
    <w:rsid w:val="006B5470"/>
    <w:rsid w:val="006B6CE1"/>
    <w:rsid w:val="006B7E64"/>
    <w:rsid w:val="006C2143"/>
    <w:rsid w:val="006C2946"/>
    <w:rsid w:val="006C346A"/>
    <w:rsid w:val="006C40C7"/>
    <w:rsid w:val="006C4EA4"/>
    <w:rsid w:val="006C596E"/>
    <w:rsid w:val="006C68BB"/>
    <w:rsid w:val="006D03FA"/>
    <w:rsid w:val="006D0CB7"/>
    <w:rsid w:val="006D202A"/>
    <w:rsid w:val="006D4060"/>
    <w:rsid w:val="006D562C"/>
    <w:rsid w:val="006D5AB0"/>
    <w:rsid w:val="006D7AD0"/>
    <w:rsid w:val="006E0225"/>
    <w:rsid w:val="006E0364"/>
    <w:rsid w:val="006E1AB5"/>
    <w:rsid w:val="006E333D"/>
    <w:rsid w:val="006E4703"/>
    <w:rsid w:val="006E657C"/>
    <w:rsid w:val="006E6CD0"/>
    <w:rsid w:val="006E7992"/>
    <w:rsid w:val="006F0B77"/>
    <w:rsid w:val="006F2DB5"/>
    <w:rsid w:val="006F3ABA"/>
    <w:rsid w:val="006F629B"/>
    <w:rsid w:val="00700F78"/>
    <w:rsid w:val="00703209"/>
    <w:rsid w:val="007045F6"/>
    <w:rsid w:val="00705CF6"/>
    <w:rsid w:val="007073E4"/>
    <w:rsid w:val="007110DE"/>
    <w:rsid w:val="007130B5"/>
    <w:rsid w:val="007146E3"/>
    <w:rsid w:val="00715625"/>
    <w:rsid w:val="00716412"/>
    <w:rsid w:val="0071688F"/>
    <w:rsid w:val="00722569"/>
    <w:rsid w:val="00722E32"/>
    <w:rsid w:val="00726A09"/>
    <w:rsid w:val="007274C5"/>
    <w:rsid w:val="00731AD1"/>
    <w:rsid w:val="00733489"/>
    <w:rsid w:val="00735539"/>
    <w:rsid w:val="00740CEA"/>
    <w:rsid w:val="00741BE7"/>
    <w:rsid w:val="00743CD1"/>
    <w:rsid w:val="007440F8"/>
    <w:rsid w:val="0074560A"/>
    <w:rsid w:val="007469A5"/>
    <w:rsid w:val="0074702A"/>
    <w:rsid w:val="00747474"/>
    <w:rsid w:val="0075040E"/>
    <w:rsid w:val="00750D4A"/>
    <w:rsid w:val="007524A7"/>
    <w:rsid w:val="007547EB"/>
    <w:rsid w:val="007551FE"/>
    <w:rsid w:val="00755736"/>
    <w:rsid w:val="00757F4F"/>
    <w:rsid w:val="0076060C"/>
    <w:rsid w:val="00760F5C"/>
    <w:rsid w:val="00762D68"/>
    <w:rsid w:val="00765EC4"/>
    <w:rsid w:val="00771539"/>
    <w:rsid w:val="007760C7"/>
    <w:rsid w:val="007767C9"/>
    <w:rsid w:val="00777DDE"/>
    <w:rsid w:val="00782F69"/>
    <w:rsid w:val="0078445D"/>
    <w:rsid w:val="007848DA"/>
    <w:rsid w:val="00784A4D"/>
    <w:rsid w:val="007864E2"/>
    <w:rsid w:val="0079102A"/>
    <w:rsid w:val="007915C0"/>
    <w:rsid w:val="00791BEC"/>
    <w:rsid w:val="00794FEE"/>
    <w:rsid w:val="007956F0"/>
    <w:rsid w:val="00797263"/>
    <w:rsid w:val="00797A5B"/>
    <w:rsid w:val="007A2BFC"/>
    <w:rsid w:val="007A4453"/>
    <w:rsid w:val="007B2278"/>
    <w:rsid w:val="007B3F1F"/>
    <w:rsid w:val="007B4F89"/>
    <w:rsid w:val="007B57EE"/>
    <w:rsid w:val="007B7C75"/>
    <w:rsid w:val="007C3FA6"/>
    <w:rsid w:val="007C4357"/>
    <w:rsid w:val="007C4844"/>
    <w:rsid w:val="007C517C"/>
    <w:rsid w:val="007C74EB"/>
    <w:rsid w:val="007C7C34"/>
    <w:rsid w:val="007D292C"/>
    <w:rsid w:val="007D30D8"/>
    <w:rsid w:val="007D6C4C"/>
    <w:rsid w:val="007D7193"/>
    <w:rsid w:val="007E0D4B"/>
    <w:rsid w:val="007E2894"/>
    <w:rsid w:val="007E299F"/>
    <w:rsid w:val="007E4B75"/>
    <w:rsid w:val="007E6C70"/>
    <w:rsid w:val="007E78C4"/>
    <w:rsid w:val="007F7AA7"/>
    <w:rsid w:val="00800E78"/>
    <w:rsid w:val="00801226"/>
    <w:rsid w:val="0080125D"/>
    <w:rsid w:val="0080176D"/>
    <w:rsid w:val="008044F3"/>
    <w:rsid w:val="0080544D"/>
    <w:rsid w:val="00806931"/>
    <w:rsid w:val="00807E91"/>
    <w:rsid w:val="00813389"/>
    <w:rsid w:val="00814590"/>
    <w:rsid w:val="008145B2"/>
    <w:rsid w:val="00814EBF"/>
    <w:rsid w:val="008160B5"/>
    <w:rsid w:val="00821711"/>
    <w:rsid w:val="008230DA"/>
    <w:rsid w:val="008232D0"/>
    <w:rsid w:val="00825580"/>
    <w:rsid w:val="00825FAB"/>
    <w:rsid w:val="0082724E"/>
    <w:rsid w:val="008277B0"/>
    <w:rsid w:val="00831630"/>
    <w:rsid w:val="008331C5"/>
    <w:rsid w:val="008349A8"/>
    <w:rsid w:val="00835E87"/>
    <w:rsid w:val="0083630D"/>
    <w:rsid w:val="008368CF"/>
    <w:rsid w:val="008372EC"/>
    <w:rsid w:val="00837317"/>
    <w:rsid w:val="008407F6"/>
    <w:rsid w:val="00841358"/>
    <w:rsid w:val="00841B59"/>
    <w:rsid w:val="008427E4"/>
    <w:rsid w:val="00845189"/>
    <w:rsid w:val="00845A65"/>
    <w:rsid w:val="0085254F"/>
    <w:rsid w:val="008525E2"/>
    <w:rsid w:val="008567FC"/>
    <w:rsid w:val="008569C7"/>
    <w:rsid w:val="00856B1A"/>
    <w:rsid w:val="00860125"/>
    <w:rsid w:val="0086177F"/>
    <w:rsid w:val="008621B9"/>
    <w:rsid w:val="0086254B"/>
    <w:rsid w:val="00863615"/>
    <w:rsid w:val="0086494B"/>
    <w:rsid w:val="00870D23"/>
    <w:rsid w:val="00872286"/>
    <w:rsid w:val="00873631"/>
    <w:rsid w:val="008749BD"/>
    <w:rsid w:val="0088002F"/>
    <w:rsid w:val="00881ACB"/>
    <w:rsid w:val="00883C1B"/>
    <w:rsid w:val="008915D1"/>
    <w:rsid w:val="0089181C"/>
    <w:rsid w:val="008937CB"/>
    <w:rsid w:val="00893C4A"/>
    <w:rsid w:val="0089651C"/>
    <w:rsid w:val="00896CCE"/>
    <w:rsid w:val="008A6DC6"/>
    <w:rsid w:val="008A7FEF"/>
    <w:rsid w:val="008B2D4B"/>
    <w:rsid w:val="008B6796"/>
    <w:rsid w:val="008C0649"/>
    <w:rsid w:val="008C117E"/>
    <w:rsid w:val="008C11D1"/>
    <w:rsid w:val="008C4C06"/>
    <w:rsid w:val="008C635E"/>
    <w:rsid w:val="008C7390"/>
    <w:rsid w:val="008C7DB3"/>
    <w:rsid w:val="008D1554"/>
    <w:rsid w:val="008D25C5"/>
    <w:rsid w:val="008D2A6C"/>
    <w:rsid w:val="008D3FCB"/>
    <w:rsid w:val="008D46B5"/>
    <w:rsid w:val="008D537E"/>
    <w:rsid w:val="008D701F"/>
    <w:rsid w:val="008E1BBB"/>
    <w:rsid w:val="008E2DDD"/>
    <w:rsid w:val="008F306F"/>
    <w:rsid w:val="00901CDC"/>
    <w:rsid w:val="009027F5"/>
    <w:rsid w:val="00903240"/>
    <w:rsid w:val="00903D46"/>
    <w:rsid w:val="009049A3"/>
    <w:rsid w:val="00911633"/>
    <w:rsid w:val="009124D6"/>
    <w:rsid w:val="009147D3"/>
    <w:rsid w:val="0091481C"/>
    <w:rsid w:val="00917335"/>
    <w:rsid w:val="00917515"/>
    <w:rsid w:val="009204D3"/>
    <w:rsid w:val="009222F7"/>
    <w:rsid w:val="00924394"/>
    <w:rsid w:val="00924953"/>
    <w:rsid w:val="00924B47"/>
    <w:rsid w:val="009254C7"/>
    <w:rsid w:val="00926FBD"/>
    <w:rsid w:val="00927233"/>
    <w:rsid w:val="00927509"/>
    <w:rsid w:val="00927D1A"/>
    <w:rsid w:val="00930BB5"/>
    <w:rsid w:val="009317B8"/>
    <w:rsid w:val="0093208B"/>
    <w:rsid w:val="00932A39"/>
    <w:rsid w:val="00933ED2"/>
    <w:rsid w:val="009351BE"/>
    <w:rsid w:val="009406F0"/>
    <w:rsid w:val="0094151A"/>
    <w:rsid w:val="00944CA3"/>
    <w:rsid w:val="00946535"/>
    <w:rsid w:val="00946DE4"/>
    <w:rsid w:val="00947085"/>
    <w:rsid w:val="0095042C"/>
    <w:rsid w:val="00950E09"/>
    <w:rsid w:val="009516B4"/>
    <w:rsid w:val="00952393"/>
    <w:rsid w:val="00952CA3"/>
    <w:rsid w:val="009564FA"/>
    <w:rsid w:val="00957065"/>
    <w:rsid w:val="00957CE7"/>
    <w:rsid w:val="009607E0"/>
    <w:rsid w:val="00960F9A"/>
    <w:rsid w:val="00965FAE"/>
    <w:rsid w:val="00966FC2"/>
    <w:rsid w:val="00967B09"/>
    <w:rsid w:val="00971ADA"/>
    <w:rsid w:val="00975575"/>
    <w:rsid w:val="009778C5"/>
    <w:rsid w:val="009779F2"/>
    <w:rsid w:val="00982041"/>
    <w:rsid w:val="00982780"/>
    <w:rsid w:val="0098416C"/>
    <w:rsid w:val="009851E7"/>
    <w:rsid w:val="00991B53"/>
    <w:rsid w:val="00995CF8"/>
    <w:rsid w:val="00995E7E"/>
    <w:rsid w:val="00996ED2"/>
    <w:rsid w:val="009A029B"/>
    <w:rsid w:val="009A0CA5"/>
    <w:rsid w:val="009A1A91"/>
    <w:rsid w:val="009A1F63"/>
    <w:rsid w:val="009A31AB"/>
    <w:rsid w:val="009A34BA"/>
    <w:rsid w:val="009A4460"/>
    <w:rsid w:val="009A516A"/>
    <w:rsid w:val="009A61A9"/>
    <w:rsid w:val="009A7350"/>
    <w:rsid w:val="009B2A3E"/>
    <w:rsid w:val="009B334F"/>
    <w:rsid w:val="009B361E"/>
    <w:rsid w:val="009B3B16"/>
    <w:rsid w:val="009B5796"/>
    <w:rsid w:val="009B5D13"/>
    <w:rsid w:val="009B7B6B"/>
    <w:rsid w:val="009C141A"/>
    <w:rsid w:val="009C184E"/>
    <w:rsid w:val="009C48CB"/>
    <w:rsid w:val="009C7396"/>
    <w:rsid w:val="009D07AD"/>
    <w:rsid w:val="009D2758"/>
    <w:rsid w:val="009D2878"/>
    <w:rsid w:val="009D2D72"/>
    <w:rsid w:val="009D55B9"/>
    <w:rsid w:val="009D5CD1"/>
    <w:rsid w:val="009D735C"/>
    <w:rsid w:val="009D7843"/>
    <w:rsid w:val="009D7C21"/>
    <w:rsid w:val="009E0226"/>
    <w:rsid w:val="009E1AAD"/>
    <w:rsid w:val="009E1CD3"/>
    <w:rsid w:val="009E1EBA"/>
    <w:rsid w:val="009E4F19"/>
    <w:rsid w:val="009E5B37"/>
    <w:rsid w:val="009E6CC1"/>
    <w:rsid w:val="009F15DE"/>
    <w:rsid w:val="009F1AD3"/>
    <w:rsid w:val="009F2845"/>
    <w:rsid w:val="009F3AC9"/>
    <w:rsid w:val="009F68E6"/>
    <w:rsid w:val="009F70B3"/>
    <w:rsid w:val="00A00A65"/>
    <w:rsid w:val="00A00CBF"/>
    <w:rsid w:val="00A019A0"/>
    <w:rsid w:val="00A030DC"/>
    <w:rsid w:val="00A10451"/>
    <w:rsid w:val="00A109E6"/>
    <w:rsid w:val="00A121BB"/>
    <w:rsid w:val="00A201A2"/>
    <w:rsid w:val="00A21340"/>
    <w:rsid w:val="00A228D6"/>
    <w:rsid w:val="00A23EB2"/>
    <w:rsid w:val="00A248ED"/>
    <w:rsid w:val="00A25EA6"/>
    <w:rsid w:val="00A2661A"/>
    <w:rsid w:val="00A27573"/>
    <w:rsid w:val="00A33C81"/>
    <w:rsid w:val="00A35969"/>
    <w:rsid w:val="00A36C34"/>
    <w:rsid w:val="00A36F9B"/>
    <w:rsid w:val="00A40D43"/>
    <w:rsid w:val="00A41536"/>
    <w:rsid w:val="00A43675"/>
    <w:rsid w:val="00A43E62"/>
    <w:rsid w:val="00A44522"/>
    <w:rsid w:val="00A44FEC"/>
    <w:rsid w:val="00A4756E"/>
    <w:rsid w:val="00A50B37"/>
    <w:rsid w:val="00A534A2"/>
    <w:rsid w:val="00A53931"/>
    <w:rsid w:val="00A543D3"/>
    <w:rsid w:val="00A556FA"/>
    <w:rsid w:val="00A5589D"/>
    <w:rsid w:val="00A55D2B"/>
    <w:rsid w:val="00A57BA1"/>
    <w:rsid w:val="00A61942"/>
    <w:rsid w:val="00A633DA"/>
    <w:rsid w:val="00A63F0C"/>
    <w:rsid w:val="00A7059F"/>
    <w:rsid w:val="00A71FBD"/>
    <w:rsid w:val="00A728A9"/>
    <w:rsid w:val="00A74246"/>
    <w:rsid w:val="00A75504"/>
    <w:rsid w:val="00A76566"/>
    <w:rsid w:val="00A7741A"/>
    <w:rsid w:val="00A818B8"/>
    <w:rsid w:val="00A82509"/>
    <w:rsid w:val="00A84E90"/>
    <w:rsid w:val="00A86B2F"/>
    <w:rsid w:val="00A87513"/>
    <w:rsid w:val="00A912C8"/>
    <w:rsid w:val="00A95159"/>
    <w:rsid w:val="00A957BC"/>
    <w:rsid w:val="00A9597F"/>
    <w:rsid w:val="00A972C8"/>
    <w:rsid w:val="00AA0350"/>
    <w:rsid w:val="00AA2552"/>
    <w:rsid w:val="00AA3604"/>
    <w:rsid w:val="00AA47B5"/>
    <w:rsid w:val="00AA4AA0"/>
    <w:rsid w:val="00AA4DF2"/>
    <w:rsid w:val="00AA60C6"/>
    <w:rsid w:val="00AA6687"/>
    <w:rsid w:val="00AB089D"/>
    <w:rsid w:val="00AB4497"/>
    <w:rsid w:val="00AB4A39"/>
    <w:rsid w:val="00AB55E0"/>
    <w:rsid w:val="00AB5A1A"/>
    <w:rsid w:val="00AB5B88"/>
    <w:rsid w:val="00AB5FF2"/>
    <w:rsid w:val="00AB60AD"/>
    <w:rsid w:val="00AB738B"/>
    <w:rsid w:val="00AC10D6"/>
    <w:rsid w:val="00AC14F2"/>
    <w:rsid w:val="00AC17A7"/>
    <w:rsid w:val="00AC22F6"/>
    <w:rsid w:val="00AC3B00"/>
    <w:rsid w:val="00AC3DB2"/>
    <w:rsid w:val="00AC4383"/>
    <w:rsid w:val="00AC61DC"/>
    <w:rsid w:val="00AC6C30"/>
    <w:rsid w:val="00AC743C"/>
    <w:rsid w:val="00AD51D5"/>
    <w:rsid w:val="00AD5E1E"/>
    <w:rsid w:val="00AD60A2"/>
    <w:rsid w:val="00AD7614"/>
    <w:rsid w:val="00AE2B58"/>
    <w:rsid w:val="00AE2CD6"/>
    <w:rsid w:val="00AE6618"/>
    <w:rsid w:val="00AE783B"/>
    <w:rsid w:val="00AF01EF"/>
    <w:rsid w:val="00AF2A7C"/>
    <w:rsid w:val="00AF2E94"/>
    <w:rsid w:val="00AF44C4"/>
    <w:rsid w:val="00AF5F2D"/>
    <w:rsid w:val="00AF6E2D"/>
    <w:rsid w:val="00B007C1"/>
    <w:rsid w:val="00B03370"/>
    <w:rsid w:val="00B035ED"/>
    <w:rsid w:val="00B0388B"/>
    <w:rsid w:val="00B046E6"/>
    <w:rsid w:val="00B04C3F"/>
    <w:rsid w:val="00B0720F"/>
    <w:rsid w:val="00B10CA3"/>
    <w:rsid w:val="00B13126"/>
    <w:rsid w:val="00B13D33"/>
    <w:rsid w:val="00B14639"/>
    <w:rsid w:val="00B213AD"/>
    <w:rsid w:val="00B214AE"/>
    <w:rsid w:val="00B223F3"/>
    <w:rsid w:val="00B224AA"/>
    <w:rsid w:val="00B26300"/>
    <w:rsid w:val="00B26976"/>
    <w:rsid w:val="00B30B54"/>
    <w:rsid w:val="00B32B6E"/>
    <w:rsid w:val="00B34646"/>
    <w:rsid w:val="00B406E9"/>
    <w:rsid w:val="00B40AAD"/>
    <w:rsid w:val="00B41675"/>
    <w:rsid w:val="00B46CD0"/>
    <w:rsid w:val="00B471A4"/>
    <w:rsid w:val="00B50C48"/>
    <w:rsid w:val="00B52ACE"/>
    <w:rsid w:val="00B538FD"/>
    <w:rsid w:val="00B56D2F"/>
    <w:rsid w:val="00B5733B"/>
    <w:rsid w:val="00B6016F"/>
    <w:rsid w:val="00B60ED3"/>
    <w:rsid w:val="00B61665"/>
    <w:rsid w:val="00B61A59"/>
    <w:rsid w:val="00B6332F"/>
    <w:rsid w:val="00B651A5"/>
    <w:rsid w:val="00B66777"/>
    <w:rsid w:val="00B67573"/>
    <w:rsid w:val="00B67BB7"/>
    <w:rsid w:val="00B7577A"/>
    <w:rsid w:val="00B770F0"/>
    <w:rsid w:val="00B771C2"/>
    <w:rsid w:val="00B80138"/>
    <w:rsid w:val="00B80459"/>
    <w:rsid w:val="00B80979"/>
    <w:rsid w:val="00B81B24"/>
    <w:rsid w:val="00B823F0"/>
    <w:rsid w:val="00B908F9"/>
    <w:rsid w:val="00B92B4D"/>
    <w:rsid w:val="00B93455"/>
    <w:rsid w:val="00B9403C"/>
    <w:rsid w:val="00B94F18"/>
    <w:rsid w:val="00B95214"/>
    <w:rsid w:val="00B95410"/>
    <w:rsid w:val="00B96913"/>
    <w:rsid w:val="00BA0407"/>
    <w:rsid w:val="00BA1B2B"/>
    <w:rsid w:val="00BA30C6"/>
    <w:rsid w:val="00BA50E0"/>
    <w:rsid w:val="00BB16E5"/>
    <w:rsid w:val="00BB2F15"/>
    <w:rsid w:val="00BB58F7"/>
    <w:rsid w:val="00BB5F0C"/>
    <w:rsid w:val="00BC2343"/>
    <w:rsid w:val="00BC68B2"/>
    <w:rsid w:val="00BC7153"/>
    <w:rsid w:val="00BC7438"/>
    <w:rsid w:val="00BC78F3"/>
    <w:rsid w:val="00BD6501"/>
    <w:rsid w:val="00BE3AA3"/>
    <w:rsid w:val="00BE3F81"/>
    <w:rsid w:val="00BE473D"/>
    <w:rsid w:val="00BE4BC2"/>
    <w:rsid w:val="00BE6EAD"/>
    <w:rsid w:val="00BF32F4"/>
    <w:rsid w:val="00BF33DE"/>
    <w:rsid w:val="00BF435B"/>
    <w:rsid w:val="00BF4E46"/>
    <w:rsid w:val="00BF5C40"/>
    <w:rsid w:val="00BF60A9"/>
    <w:rsid w:val="00C000B5"/>
    <w:rsid w:val="00C00ED1"/>
    <w:rsid w:val="00C05618"/>
    <w:rsid w:val="00C056C2"/>
    <w:rsid w:val="00C0601B"/>
    <w:rsid w:val="00C069C9"/>
    <w:rsid w:val="00C07655"/>
    <w:rsid w:val="00C107A5"/>
    <w:rsid w:val="00C13B06"/>
    <w:rsid w:val="00C20268"/>
    <w:rsid w:val="00C204B1"/>
    <w:rsid w:val="00C278F1"/>
    <w:rsid w:val="00C27B4F"/>
    <w:rsid w:val="00C311AD"/>
    <w:rsid w:val="00C32F1F"/>
    <w:rsid w:val="00C3381A"/>
    <w:rsid w:val="00C34164"/>
    <w:rsid w:val="00C35547"/>
    <w:rsid w:val="00C36774"/>
    <w:rsid w:val="00C36941"/>
    <w:rsid w:val="00C36C8E"/>
    <w:rsid w:val="00C3747A"/>
    <w:rsid w:val="00C40FD7"/>
    <w:rsid w:val="00C43F61"/>
    <w:rsid w:val="00C5175F"/>
    <w:rsid w:val="00C60918"/>
    <w:rsid w:val="00C60A08"/>
    <w:rsid w:val="00C60A43"/>
    <w:rsid w:val="00C614E1"/>
    <w:rsid w:val="00C63955"/>
    <w:rsid w:val="00C64D2F"/>
    <w:rsid w:val="00C653CB"/>
    <w:rsid w:val="00C70CB8"/>
    <w:rsid w:val="00C728AD"/>
    <w:rsid w:val="00C72D88"/>
    <w:rsid w:val="00C73CC7"/>
    <w:rsid w:val="00C75984"/>
    <w:rsid w:val="00C75B2E"/>
    <w:rsid w:val="00C778A2"/>
    <w:rsid w:val="00C816A5"/>
    <w:rsid w:val="00C82051"/>
    <w:rsid w:val="00C87205"/>
    <w:rsid w:val="00C93D3B"/>
    <w:rsid w:val="00C94644"/>
    <w:rsid w:val="00C94B26"/>
    <w:rsid w:val="00C95AF4"/>
    <w:rsid w:val="00CA0BB6"/>
    <w:rsid w:val="00CA1BCF"/>
    <w:rsid w:val="00CA29F7"/>
    <w:rsid w:val="00CA586A"/>
    <w:rsid w:val="00CA6D05"/>
    <w:rsid w:val="00CA7BA2"/>
    <w:rsid w:val="00CB03B7"/>
    <w:rsid w:val="00CB24F1"/>
    <w:rsid w:val="00CB48CE"/>
    <w:rsid w:val="00CB5B49"/>
    <w:rsid w:val="00CC1B66"/>
    <w:rsid w:val="00CC3BBD"/>
    <w:rsid w:val="00CC66FC"/>
    <w:rsid w:val="00CC6EFD"/>
    <w:rsid w:val="00CD1B66"/>
    <w:rsid w:val="00CD3887"/>
    <w:rsid w:val="00CD4411"/>
    <w:rsid w:val="00CD4CE9"/>
    <w:rsid w:val="00CD6D0A"/>
    <w:rsid w:val="00CE56F4"/>
    <w:rsid w:val="00CE6F4D"/>
    <w:rsid w:val="00CF0665"/>
    <w:rsid w:val="00CF1417"/>
    <w:rsid w:val="00CF1786"/>
    <w:rsid w:val="00CF1B38"/>
    <w:rsid w:val="00CF5A5C"/>
    <w:rsid w:val="00CF6BBE"/>
    <w:rsid w:val="00D018EA"/>
    <w:rsid w:val="00D02E16"/>
    <w:rsid w:val="00D03A89"/>
    <w:rsid w:val="00D05024"/>
    <w:rsid w:val="00D102ED"/>
    <w:rsid w:val="00D11B5B"/>
    <w:rsid w:val="00D12733"/>
    <w:rsid w:val="00D161DE"/>
    <w:rsid w:val="00D163F8"/>
    <w:rsid w:val="00D17B64"/>
    <w:rsid w:val="00D20CC2"/>
    <w:rsid w:val="00D21300"/>
    <w:rsid w:val="00D2444C"/>
    <w:rsid w:val="00D25BF1"/>
    <w:rsid w:val="00D2704F"/>
    <w:rsid w:val="00D32747"/>
    <w:rsid w:val="00D328BE"/>
    <w:rsid w:val="00D337DF"/>
    <w:rsid w:val="00D33907"/>
    <w:rsid w:val="00D3458B"/>
    <w:rsid w:val="00D35FB0"/>
    <w:rsid w:val="00D407C3"/>
    <w:rsid w:val="00D40EFF"/>
    <w:rsid w:val="00D41A3A"/>
    <w:rsid w:val="00D452F5"/>
    <w:rsid w:val="00D47F8E"/>
    <w:rsid w:val="00D57427"/>
    <w:rsid w:val="00D62BF6"/>
    <w:rsid w:val="00D64D5F"/>
    <w:rsid w:val="00D6550F"/>
    <w:rsid w:val="00D667D1"/>
    <w:rsid w:val="00D72C95"/>
    <w:rsid w:val="00D7607E"/>
    <w:rsid w:val="00D812C6"/>
    <w:rsid w:val="00D81543"/>
    <w:rsid w:val="00D81DB1"/>
    <w:rsid w:val="00D828DE"/>
    <w:rsid w:val="00D8376F"/>
    <w:rsid w:val="00D86CF6"/>
    <w:rsid w:val="00D87E03"/>
    <w:rsid w:val="00D917AF"/>
    <w:rsid w:val="00D920DD"/>
    <w:rsid w:val="00D926F3"/>
    <w:rsid w:val="00D95612"/>
    <w:rsid w:val="00D968BD"/>
    <w:rsid w:val="00D97F26"/>
    <w:rsid w:val="00DA0144"/>
    <w:rsid w:val="00DA1B57"/>
    <w:rsid w:val="00DA2369"/>
    <w:rsid w:val="00DA7205"/>
    <w:rsid w:val="00DA7655"/>
    <w:rsid w:val="00DB00B1"/>
    <w:rsid w:val="00DB0537"/>
    <w:rsid w:val="00DB1A0D"/>
    <w:rsid w:val="00DB24C1"/>
    <w:rsid w:val="00DB481D"/>
    <w:rsid w:val="00DB56FB"/>
    <w:rsid w:val="00DB7269"/>
    <w:rsid w:val="00DB7468"/>
    <w:rsid w:val="00DB7D27"/>
    <w:rsid w:val="00DC11B0"/>
    <w:rsid w:val="00DC1EC9"/>
    <w:rsid w:val="00DC2F70"/>
    <w:rsid w:val="00DC3867"/>
    <w:rsid w:val="00DC5601"/>
    <w:rsid w:val="00DC7BDF"/>
    <w:rsid w:val="00DD0EB3"/>
    <w:rsid w:val="00DD1BF3"/>
    <w:rsid w:val="00DD2E6E"/>
    <w:rsid w:val="00DD763E"/>
    <w:rsid w:val="00DE2A96"/>
    <w:rsid w:val="00DE6013"/>
    <w:rsid w:val="00DE63F7"/>
    <w:rsid w:val="00DE6A04"/>
    <w:rsid w:val="00DF5F01"/>
    <w:rsid w:val="00DF7C90"/>
    <w:rsid w:val="00E01FB0"/>
    <w:rsid w:val="00E04FCE"/>
    <w:rsid w:val="00E05485"/>
    <w:rsid w:val="00E0655E"/>
    <w:rsid w:val="00E07C51"/>
    <w:rsid w:val="00E12273"/>
    <w:rsid w:val="00E136CB"/>
    <w:rsid w:val="00E1422B"/>
    <w:rsid w:val="00E14DB8"/>
    <w:rsid w:val="00E17490"/>
    <w:rsid w:val="00E232CA"/>
    <w:rsid w:val="00E2610C"/>
    <w:rsid w:val="00E26760"/>
    <w:rsid w:val="00E27633"/>
    <w:rsid w:val="00E314A2"/>
    <w:rsid w:val="00E33A2F"/>
    <w:rsid w:val="00E34EEF"/>
    <w:rsid w:val="00E36645"/>
    <w:rsid w:val="00E36A80"/>
    <w:rsid w:val="00E4025A"/>
    <w:rsid w:val="00E40EF8"/>
    <w:rsid w:val="00E40F5D"/>
    <w:rsid w:val="00E43581"/>
    <w:rsid w:val="00E479B3"/>
    <w:rsid w:val="00E506C2"/>
    <w:rsid w:val="00E50720"/>
    <w:rsid w:val="00E51261"/>
    <w:rsid w:val="00E518FD"/>
    <w:rsid w:val="00E53CA6"/>
    <w:rsid w:val="00E541EE"/>
    <w:rsid w:val="00E62146"/>
    <w:rsid w:val="00E62523"/>
    <w:rsid w:val="00E6286B"/>
    <w:rsid w:val="00E63DBE"/>
    <w:rsid w:val="00E647BA"/>
    <w:rsid w:val="00E66652"/>
    <w:rsid w:val="00E6793F"/>
    <w:rsid w:val="00E67CCD"/>
    <w:rsid w:val="00E712BF"/>
    <w:rsid w:val="00E745EC"/>
    <w:rsid w:val="00E7771F"/>
    <w:rsid w:val="00E80FA8"/>
    <w:rsid w:val="00E8241E"/>
    <w:rsid w:val="00E8549A"/>
    <w:rsid w:val="00E85A5D"/>
    <w:rsid w:val="00E963FC"/>
    <w:rsid w:val="00EA2A37"/>
    <w:rsid w:val="00EA53E8"/>
    <w:rsid w:val="00EA6109"/>
    <w:rsid w:val="00EB2943"/>
    <w:rsid w:val="00EB4477"/>
    <w:rsid w:val="00EB528B"/>
    <w:rsid w:val="00EB6F17"/>
    <w:rsid w:val="00EC00D0"/>
    <w:rsid w:val="00EC38D4"/>
    <w:rsid w:val="00EC402A"/>
    <w:rsid w:val="00EC5AA5"/>
    <w:rsid w:val="00EC67B5"/>
    <w:rsid w:val="00EC7399"/>
    <w:rsid w:val="00ED183B"/>
    <w:rsid w:val="00ED23E4"/>
    <w:rsid w:val="00ED4787"/>
    <w:rsid w:val="00ED4C9B"/>
    <w:rsid w:val="00ED4E18"/>
    <w:rsid w:val="00ED4E8B"/>
    <w:rsid w:val="00ED4F4E"/>
    <w:rsid w:val="00EE10E5"/>
    <w:rsid w:val="00EE146B"/>
    <w:rsid w:val="00EE2978"/>
    <w:rsid w:val="00EE45A3"/>
    <w:rsid w:val="00EF0133"/>
    <w:rsid w:val="00EF0210"/>
    <w:rsid w:val="00EF02E3"/>
    <w:rsid w:val="00EF6017"/>
    <w:rsid w:val="00EF7D7B"/>
    <w:rsid w:val="00F010D6"/>
    <w:rsid w:val="00F01253"/>
    <w:rsid w:val="00F026B5"/>
    <w:rsid w:val="00F0430D"/>
    <w:rsid w:val="00F04EC6"/>
    <w:rsid w:val="00F06F29"/>
    <w:rsid w:val="00F07DF2"/>
    <w:rsid w:val="00F1016B"/>
    <w:rsid w:val="00F117D0"/>
    <w:rsid w:val="00F1674D"/>
    <w:rsid w:val="00F177AB"/>
    <w:rsid w:val="00F20AA0"/>
    <w:rsid w:val="00F21B2B"/>
    <w:rsid w:val="00F22004"/>
    <w:rsid w:val="00F22F11"/>
    <w:rsid w:val="00F2301E"/>
    <w:rsid w:val="00F262E7"/>
    <w:rsid w:val="00F263BD"/>
    <w:rsid w:val="00F26786"/>
    <w:rsid w:val="00F27F8C"/>
    <w:rsid w:val="00F31617"/>
    <w:rsid w:val="00F3196B"/>
    <w:rsid w:val="00F37A43"/>
    <w:rsid w:val="00F411AE"/>
    <w:rsid w:val="00F428F2"/>
    <w:rsid w:val="00F45C6E"/>
    <w:rsid w:val="00F5202E"/>
    <w:rsid w:val="00F5373A"/>
    <w:rsid w:val="00F5439C"/>
    <w:rsid w:val="00F5586A"/>
    <w:rsid w:val="00F613B6"/>
    <w:rsid w:val="00F646E3"/>
    <w:rsid w:val="00F652A5"/>
    <w:rsid w:val="00F65B28"/>
    <w:rsid w:val="00F65FE0"/>
    <w:rsid w:val="00F72ABB"/>
    <w:rsid w:val="00F72BEB"/>
    <w:rsid w:val="00F74568"/>
    <w:rsid w:val="00F75140"/>
    <w:rsid w:val="00F76A8B"/>
    <w:rsid w:val="00F801B5"/>
    <w:rsid w:val="00F807F3"/>
    <w:rsid w:val="00F807F7"/>
    <w:rsid w:val="00F900C9"/>
    <w:rsid w:val="00F90DE7"/>
    <w:rsid w:val="00F90F1C"/>
    <w:rsid w:val="00FA0487"/>
    <w:rsid w:val="00FA2D82"/>
    <w:rsid w:val="00FA4352"/>
    <w:rsid w:val="00FA50C8"/>
    <w:rsid w:val="00FA53E6"/>
    <w:rsid w:val="00FA5E17"/>
    <w:rsid w:val="00FB0FBE"/>
    <w:rsid w:val="00FB1CA4"/>
    <w:rsid w:val="00FB3B86"/>
    <w:rsid w:val="00FB4DF4"/>
    <w:rsid w:val="00FB6441"/>
    <w:rsid w:val="00FC10F7"/>
    <w:rsid w:val="00FC12A8"/>
    <w:rsid w:val="00FC1D64"/>
    <w:rsid w:val="00FC5196"/>
    <w:rsid w:val="00FC5A7E"/>
    <w:rsid w:val="00FD31B1"/>
    <w:rsid w:val="00FD531C"/>
    <w:rsid w:val="00FD7A8F"/>
    <w:rsid w:val="00FE4BE2"/>
    <w:rsid w:val="00FF1D53"/>
    <w:rsid w:val="00FF2D2D"/>
    <w:rsid w:val="00FF4AEF"/>
    <w:rsid w:val="00FF5F79"/>
    <w:rsid w:val="00FF6AEA"/>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5D27"/>
  <w15:docId w15:val="{9632A63A-FB14-4F6D-930C-48BDB349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SG" w:eastAsia="zh-CN" w:bidi="ta-IN"/>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F1AD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F3AB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lang w:bidi="ar-SA"/>
    </w:rPr>
  </w:style>
  <w:style w:type="table" w:styleId="TableGrid">
    <w:name w:val="Table Grid"/>
    <w:basedOn w:val="TableNormal"/>
    <w:uiPriority w:val="39"/>
    <w:rsid w:val="006F3AB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14E1"/>
  </w:style>
  <w:style w:type="character" w:styleId="Hyperlink">
    <w:name w:val="Hyperlink"/>
    <w:basedOn w:val="DefaultParagraphFont"/>
    <w:uiPriority w:val="99"/>
    <w:unhideWhenUsed/>
    <w:rsid w:val="00C614E1"/>
    <w:rPr>
      <w:color w:val="0000FF"/>
      <w:u w:val="single"/>
    </w:rPr>
  </w:style>
  <w:style w:type="paragraph" w:styleId="NormalWeb">
    <w:name w:val="Normal (Web)"/>
    <w:basedOn w:val="Normal"/>
    <w:uiPriority w:val="99"/>
    <w:unhideWhenUsed/>
    <w:rsid w:val="005C77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5C7723"/>
    <w:rPr>
      <w:b/>
      <w:bCs/>
    </w:rPr>
  </w:style>
  <w:style w:type="paragraph" w:styleId="BalloonText">
    <w:name w:val="Balloon Text"/>
    <w:basedOn w:val="Normal"/>
    <w:link w:val="BalloonTextChar"/>
    <w:uiPriority w:val="99"/>
    <w:semiHidden/>
    <w:unhideWhenUsed/>
    <w:rsid w:val="00D0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024"/>
    <w:rPr>
      <w:rFonts w:ascii="Segoe UI" w:hAnsi="Segoe UI" w:cs="Segoe UI"/>
      <w:sz w:val="18"/>
      <w:szCs w:val="18"/>
    </w:rPr>
  </w:style>
  <w:style w:type="character" w:styleId="CommentReference">
    <w:name w:val="annotation reference"/>
    <w:basedOn w:val="DefaultParagraphFont"/>
    <w:uiPriority w:val="99"/>
    <w:semiHidden/>
    <w:unhideWhenUsed/>
    <w:rsid w:val="00D05024"/>
    <w:rPr>
      <w:sz w:val="16"/>
      <w:szCs w:val="16"/>
    </w:rPr>
  </w:style>
  <w:style w:type="paragraph" w:styleId="CommentText">
    <w:name w:val="annotation text"/>
    <w:basedOn w:val="Normal"/>
    <w:link w:val="CommentTextChar"/>
    <w:uiPriority w:val="99"/>
    <w:semiHidden/>
    <w:unhideWhenUsed/>
    <w:rsid w:val="00D05024"/>
    <w:pPr>
      <w:spacing w:line="240" w:lineRule="auto"/>
    </w:pPr>
    <w:rPr>
      <w:sz w:val="20"/>
      <w:szCs w:val="20"/>
    </w:rPr>
  </w:style>
  <w:style w:type="character" w:customStyle="1" w:styleId="CommentTextChar">
    <w:name w:val="Comment Text Char"/>
    <w:basedOn w:val="DefaultParagraphFont"/>
    <w:link w:val="CommentText"/>
    <w:uiPriority w:val="99"/>
    <w:semiHidden/>
    <w:rsid w:val="00D05024"/>
    <w:rPr>
      <w:sz w:val="20"/>
      <w:szCs w:val="20"/>
    </w:rPr>
  </w:style>
  <w:style w:type="paragraph" w:styleId="CommentSubject">
    <w:name w:val="annotation subject"/>
    <w:basedOn w:val="CommentText"/>
    <w:next w:val="CommentText"/>
    <w:link w:val="CommentSubjectChar"/>
    <w:uiPriority w:val="99"/>
    <w:semiHidden/>
    <w:unhideWhenUsed/>
    <w:rsid w:val="00D05024"/>
    <w:rPr>
      <w:b/>
      <w:bCs/>
    </w:rPr>
  </w:style>
  <w:style w:type="character" w:customStyle="1" w:styleId="CommentSubjectChar">
    <w:name w:val="Comment Subject Char"/>
    <w:basedOn w:val="CommentTextChar"/>
    <w:link w:val="CommentSubject"/>
    <w:uiPriority w:val="99"/>
    <w:semiHidden/>
    <w:rsid w:val="00D05024"/>
    <w:rPr>
      <w:b/>
      <w:bCs/>
      <w:sz w:val="20"/>
      <w:szCs w:val="20"/>
    </w:rPr>
  </w:style>
  <w:style w:type="paragraph" w:styleId="Header">
    <w:name w:val="header"/>
    <w:basedOn w:val="Normal"/>
    <w:link w:val="HeaderChar"/>
    <w:uiPriority w:val="99"/>
    <w:unhideWhenUsed/>
    <w:rsid w:val="00E40F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F5D"/>
  </w:style>
  <w:style w:type="paragraph" w:styleId="Footer">
    <w:name w:val="footer"/>
    <w:basedOn w:val="Normal"/>
    <w:link w:val="FooterChar"/>
    <w:uiPriority w:val="99"/>
    <w:unhideWhenUsed/>
    <w:rsid w:val="00E40F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F5D"/>
  </w:style>
  <w:style w:type="character" w:styleId="FollowedHyperlink">
    <w:name w:val="FollowedHyperlink"/>
    <w:basedOn w:val="DefaultParagraphFont"/>
    <w:uiPriority w:val="99"/>
    <w:semiHidden/>
    <w:unhideWhenUsed/>
    <w:rsid w:val="0094151A"/>
    <w:rPr>
      <w:color w:val="954F72" w:themeColor="followedHyperlink"/>
      <w:u w:val="single"/>
    </w:rPr>
  </w:style>
  <w:style w:type="character" w:styleId="PlaceholderText">
    <w:name w:val="Placeholder Text"/>
    <w:basedOn w:val="DefaultParagraphFont"/>
    <w:uiPriority w:val="99"/>
    <w:semiHidden/>
    <w:rsid w:val="004F3940"/>
    <w:rPr>
      <w:color w:val="808080"/>
    </w:rPr>
  </w:style>
  <w:style w:type="character" w:customStyle="1" w:styleId="apple-tab-span">
    <w:name w:val="apple-tab-span"/>
    <w:basedOn w:val="DefaultParagraphFont"/>
    <w:rsid w:val="00682B5A"/>
  </w:style>
  <w:style w:type="paragraph" w:styleId="Caption">
    <w:name w:val="caption"/>
    <w:basedOn w:val="Normal"/>
    <w:next w:val="Normal"/>
    <w:uiPriority w:val="35"/>
    <w:unhideWhenUsed/>
    <w:qFormat/>
    <w:rsid w:val="000940A5"/>
    <w:pPr>
      <w:spacing w:after="200" w:line="240" w:lineRule="auto"/>
    </w:pPr>
    <w:rPr>
      <w:i/>
      <w:iCs/>
      <w:color w:val="44546A" w:themeColor="text2"/>
      <w:sz w:val="18"/>
      <w:szCs w:val="18"/>
    </w:rPr>
  </w:style>
  <w:style w:type="paragraph" w:customStyle="1" w:styleId="articlebody-text">
    <w:name w:val="article__body-text"/>
    <w:basedOn w:val="Normal"/>
    <w:rsid w:val="002526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bidi="ar-SA"/>
    </w:rPr>
  </w:style>
  <w:style w:type="character" w:customStyle="1" w:styleId="text">
    <w:name w:val="text"/>
    <w:basedOn w:val="DefaultParagraphFont"/>
    <w:rsid w:val="000F5A91"/>
  </w:style>
  <w:style w:type="character" w:customStyle="1" w:styleId="opinion-articlebody">
    <w:name w:val="opinion-article__body"/>
    <w:basedOn w:val="DefaultParagraphFont"/>
    <w:rsid w:val="000F5A91"/>
  </w:style>
  <w:style w:type="paragraph" w:customStyle="1" w:styleId="Default">
    <w:name w:val="Default"/>
    <w:rsid w:val="00D667D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bidi="ar-SA"/>
    </w:rPr>
  </w:style>
  <w:style w:type="character" w:customStyle="1" w:styleId="ezstring-field">
    <w:name w:val="ezstring-field"/>
    <w:basedOn w:val="DefaultParagraphFont"/>
    <w:rsid w:val="001B3E71"/>
  </w:style>
  <w:style w:type="paragraph" w:styleId="NoSpacing">
    <w:name w:val="No Spacing"/>
    <w:link w:val="NoSpacingChar"/>
    <w:uiPriority w:val="1"/>
    <w:qFormat/>
    <w:rsid w:val="005F169A"/>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lang w:eastAsia="en-US" w:bidi="ar-SA"/>
    </w:rPr>
  </w:style>
  <w:style w:type="character" w:customStyle="1" w:styleId="NoSpacingChar">
    <w:name w:val="No Spacing Char"/>
    <w:basedOn w:val="DefaultParagraphFont"/>
    <w:link w:val="NoSpacing"/>
    <w:uiPriority w:val="1"/>
    <w:rsid w:val="005F169A"/>
    <w:rPr>
      <w:rFonts w:asciiTheme="minorHAnsi" w:eastAsiaTheme="minorEastAsia" w:hAnsiTheme="minorHAnsi" w:cstheme="minorBidi"/>
      <w:color w:val="auto"/>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595">
      <w:bodyDiv w:val="1"/>
      <w:marLeft w:val="0"/>
      <w:marRight w:val="0"/>
      <w:marTop w:val="0"/>
      <w:marBottom w:val="0"/>
      <w:divBdr>
        <w:top w:val="none" w:sz="0" w:space="0" w:color="auto"/>
        <w:left w:val="none" w:sz="0" w:space="0" w:color="auto"/>
        <w:bottom w:val="none" w:sz="0" w:space="0" w:color="auto"/>
        <w:right w:val="none" w:sz="0" w:space="0" w:color="auto"/>
      </w:divBdr>
    </w:div>
    <w:div w:id="25641743">
      <w:bodyDiv w:val="1"/>
      <w:marLeft w:val="0"/>
      <w:marRight w:val="0"/>
      <w:marTop w:val="0"/>
      <w:marBottom w:val="0"/>
      <w:divBdr>
        <w:top w:val="none" w:sz="0" w:space="0" w:color="auto"/>
        <w:left w:val="none" w:sz="0" w:space="0" w:color="auto"/>
        <w:bottom w:val="none" w:sz="0" w:space="0" w:color="auto"/>
        <w:right w:val="none" w:sz="0" w:space="0" w:color="auto"/>
      </w:divBdr>
    </w:div>
    <w:div w:id="87501927">
      <w:bodyDiv w:val="1"/>
      <w:marLeft w:val="0"/>
      <w:marRight w:val="0"/>
      <w:marTop w:val="0"/>
      <w:marBottom w:val="0"/>
      <w:divBdr>
        <w:top w:val="none" w:sz="0" w:space="0" w:color="auto"/>
        <w:left w:val="none" w:sz="0" w:space="0" w:color="auto"/>
        <w:bottom w:val="none" w:sz="0" w:space="0" w:color="auto"/>
        <w:right w:val="none" w:sz="0" w:space="0" w:color="auto"/>
      </w:divBdr>
    </w:div>
    <w:div w:id="141585263">
      <w:bodyDiv w:val="1"/>
      <w:marLeft w:val="0"/>
      <w:marRight w:val="0"/>
      <w:marTop w:val="0"/>
      <w:marBottom w:val="0"/>
      <w:divBdr>
        <w:top w:val="none" w:sz="0" w:space="0" w:color="auto"/>
        <w:left w:val="none" w:sz="0" w:space="0" w:color="auto"/>
        <w:bottom w:val="none" w:sz="0" w:space="0" w:color="auto"/>
        <w:right w:val="none" w:sz="0" w:space="0" w:color="auto"/>
      </w:divBdr>
    </w:div>
    <w:div w:id="154801411">
      <w:bodyDiv w:val="1"/>
      <w:marLeft w:val="0"/>
      <w:marRight w:val="0"/>
      <w:marTop w:val="0"/>
      <w:marBottom w:val="0"/>
      <w:divBdr>
        <w:top w:val="none" w:sz="0" w:space="0" w:color="auto"/>
        <w:left w:val="none" w:sz="0" w:space="0" w:color="auto"/>
        <w:bottom w:val="none" w:sz="0" w:space="0" w:color="auto"/>
        <w:right w:val="none" w:sz="0" w:space="0" w:color="auto"/>
      </w:divBdr>
    </w:div>
    <w:div w:id="207226658">
      <w:bodyDiv w:val="1"/>
      <w:marLeft w:val="0"/>
      <w:marRight w:val="0"/>
      <w:marTop w:val="0"/>
      <w:marBottom w:val="0"/>
      <w:divBdr>
        <w:top w:val="none" w:sz="0" w:space="0" w:color="auto"/>
        <w:left w:val="none" w:sz="0" w:space="0" w:color="auto"/>
        <w:bottom w:val="none" w:sz="0" w:space="0" w:color="auto"/>
        <w:right w:val="none" w:sz="0" w:space="0" w:color="auto"/>
      </w:divBdr>
      <w:divsChild>
        <w:div w:id="477040251">
          <w:marLeft w:val="0"/>
          <w:marRight w:val="0"/>
          <w:marTop w:val="0"/>
          <w:marBottom w:val="0"/>
          <w:divBdr>
            <w:top w:val="none" w:sz="0" w:space="0" w:color="auto"/>
            <w:left w:val="none" w:sz="0" w:space="0" w:color="auto"/>
            <w:bottom w:val="none" w:sz="0" w:space="0" w:color="auto"/>
            <w:right w:val="none" w:sz="0" w:space="0" w:color="auto"/>
          </w:divBdr>
        </w:div>
      </w:divsChild>
    </w:div>
    <w:div w:id="308173178">
      <w:bodyDiv w:val="1"/>
      <w:marLeft w:val="0"/>
      <w:marRight w:val="0"/>
      <w:marTop w:val="0"/>
      <w:marBottom w:val="0"/>
      <w:divBdr>
        <w:top w:val="none" w:sz="0" w:space="0" w:color="auto"/>
        <w:left w:val="none" w:sz="0" w:space="0" w:color="auto"/>
        <w:bottom w:val="none" w:sz="0" w:space="0" w:color="auto"/>
        <w:right w:val="none" w:sz="0" w:space="0" w:color="auto"/>
      </w:divBdr>
      <w:divsChild>
        <w:div w:id="10884224">
          <w:marLeft w:val="360"/>
          <w:marRight w:val="0"/>
          <w:marTop w:val="200"/>
          <w:marBottom w:val="0"/>
          <w:divBdr>
            <w:top w:val="none" w:sz="0" w:space="0" w:color="auto"/>
            <w:left w:val="none" w:sz="0" w:space="0" w:color="auto"/>
            <w:bottom w:val="none" w:sz="0" w:space="0" w:color="auto"/>
            <w:right w:val="none" w:sz="0" w:space="0" w:color="auto"/>
          </w:divBdr>
        </w:div>
      </w:divsChild>
    </w:div>
    <w:div w:id="318509487">
      <w:bodyDiv w:val="1"/>
      <w:marLeft w:val="0"/>
      <w:marRight w:val="0"/>
      <w:marTop w:val="0"/>
      <w:marBottom w:val="0"/>
      <w:divBdr>
        <w:top w:val="none" w:sz="0" w:space="0" w:color="auto"/>
        <w:left w:val="none" w:sz="0" w:space="0" w:color="auto"/>
        <w:bottom w:val="none" w:sz="0" w:space="0" w:color="auto"/>
        <w:right w:val="none" w:sz="0" w:space="0" w:color="auto"/>
      </w:divBdr>
    </w:div>
    <w:div w:id="326174914">
      <w:bodyDiv w:val="1"/>
      <w:marLeft w:val="0"/>
      <w:marRight w:val="0"/>
      <w:marTop w:val="0"/>
      <w:marBottom w:val="0"/>
      <w:divBdr>
        <w:top w:val="none" w:sz="0" w:space="0" w:color="auto"/>
        <w:left w:val="none" w:sz="0" w:space="0" w:color="auto"/>
        <w:bottom w:val="none" w:sz="0" w:space="0" w:color="auto"/>
        <w:right w:val="none" w:sz="0" w:space="0" w:color="auto"/>
      </w:divBdr>
      <w:divsChild>
        <w:div w:id="1763377626">
          <w:marLeft w:val="0"/>
          <w:marRight w:val="0"/>
          <w:marTop w:val="0"/>
          <w:marBottom w:val="0"/>
          <w:divBdr>
            <w:top w:val="none" w:sz="0" w:space="0" w:color="auto"/>
            <w:left w:val="none" w:sz="0" w:space="0" w:color="auto"/>
            <w:bottom w:val="none" w:sz="0" w:space="0" w:color="auto"/>
            <w:right w:val="none" w:sz="0" w:space="0" w:color="auto"/>
          </w:divBdr>
        </w:div>
      </w:divsChild>
    </w:div>
    <w:div w:id="439692051">
      <w:bodyDiv w:val="1"/>
      <w:marLeft w:val="0"/>
      <w:marRight w:val="0"/>
      <w:marTop w:val="0"/>
      <w:marBottom w:val="0"/>
      <w:divBdr>
        <w:top w:val="none" w:sz="0" w:space="0" w:color="auto"/>
        <w:left w:val="none" w:sz="0" w:space="0" w:color="auto"/>
        <w:bottom w:val="none" w:sz="0" w:space="0" w:color="auto"/>
        <w:right w:val="none" w:sz="0" w:space="0" w:color="auto"/>
      </w:divBdr>
    </w:div>
    <w:div w:id="590090073">
      <w:bodyDiv w:val="1"/>
      <w:marLeft w:val="0"/>
      <w:marRight w:val="0"/>
      <w:marTop w:val="0"/>
      <w:marBottom w:val="0"/>
      <w:divBdr>
        <w:top w:val="none" w:sz="0" w:space="0" w:color="auto"/>
        <w:left w:val="none" w:sz="0" w:space="0" w:color="auto"/>
        <w:bottom w:val="none" w:sz="0" w:space="0" w:color="auto"/>
        <w:right w:val="none" w:sz="0" w:space="0" w:color="auto"/>
      </w:divBdr>
    </w:div>
    <w:div w:id="609626088">
      <w:bodyDiv w:val="1"/>
      <w:marLeft w:val="0"/>
      <w:marRight w:val="0"/>
      <w:marTop w:val="0"/>
      <w:marBottom w:val="0"/>
      <w:divBdr>
        <w:top w:val="none" w:sz="0" w:space="0" w:color="auto"/>
        <w:left w:val="none" w:sz="0" w:space="0" w:color="auto"/>
        <w:bottom w:val="none" w:sz="0" w:space="0" w:color="auto"/>
        <w:right w:val="none" w:sz="0" w:space="0" w:color="auto"/>
      </w:divBdr>
    </w:div>
    <w:div w:id="615066098">
      <w:bodyDiv w:val="1"/>
      <w:marLeft w:val="0"/>
      <w:marRight w:val="0"/>
      <w:marTop w:val="0"/>
      <w:marBottom w:val="0"/>
      <w:divBdr>
        <w:top w:val="none" w:sz="0" w:space="0" w:color="auto"/>
        <w:left w:val="none" w:sz="0" w:space="0" w:color="auto"/>
        <w:bottom w:val="none" w:sz="0" w:space="0" w:color="auto"/>
        <w:right w:val="none" w:sz="0" w:space="0" w:color="auto"/>
      </w:divBdr>
    </w:div>
    <w:div w:id="626084413">
      <w:bodyDiv w:val="1"/>
      <w:marLeft w:val="0"/>
      <w:marRight w:val="0"/>
      <w:marTop w:val="0"/>
      <w:marBottom w:val="0"/>
      <w:divBdr>
        <w:top w:val="none" w:sz="0" w:space="0" w:color="auto"/>
        <w:left w:val="none" w:sz="0" w:space="0" w:color="auto"/>
        <w:bottom w:val="none" w:sz="0" w:space="0" w:color="auto"/>
        <w:right w:val="none" w:sz="0" w:space="0" w:color="auto"/>
      </w:divBdr>
      <w:divsChild>
        <w:div w:id="1403672136">
          <w:marLeft w:val="0"/>
          <w:marRight w:val="0"/>
          <w:marTop w:val="0"/>
          <w:marBottom w:val="0"/>
          <w:divBdr>
            <w:top w:val="none" w:sz="0" w:space="0" w:color="auto"/>
            <w:left w:val="none" w:sz="0" w:space="0" w:color="auto"/>
            <w:bottom w:val="none" w:sz="0" w:space="0" w:color="auto"/>
            <w:right w:val="none" w:sz="0" w:space="0" w:color="auto"/>
          </w:divBdr>
        </w:div>
      </w:divsChild>
    </w:div>
    <w:div w:id="635574779">
      <w:bodyDiv w:val="1"/>
      <w:marLeft w:val="0"/>
      <w:marRight w:val="0"/>
      <w:marTop w:val="0"/>
      <w:marBottom w:val="0"/>
      <w:divBdr>
        <w:top w:val="none" w:sz="0" w:space="0" w:color="auto"/>
        <w:left w:val="none" w:sz="0" w:space="0" w:color="auto"/>
        <w:bottom w:val="none" w:sz="0" w:space="0" w:color="auto"/>
        <w:right w:val="none" w:sz="0" w:space="0" w:color="auto"/>
      </w:divBdr>
      <w:divsChild>
        <w:div w:id="1053232423">
          <w:marLeft w:val="360"/>
          <w:marRight w:val="0"/>
          <w:marTop w:val="200"/>
          <w:marBottom w:val="0"/>
          <w:divBdr>
            <w:top w:val="none" w:sz="0" w:space="0" w:color="auto"/>
            <w:left w:val="none" w:sz="0" w:space="0" w:color="auto"/>
            <w:bottom w:val="none" w:sz="0" w:space="0" w:color="auto"/>
            <w:right w:val="none" w:sz="0" w:space="0" w:color="auto"/>
          </w:divBdr>
        </w:div>
      </w:divsChild>
    </w:div>
    <w:div w:id="654576835">
      <w:bodyDiv w:val="1"/>
      <w:marLeft w:val="0"/>
      <w:marRight w:val="0"/>
      <w:marTop w:val="0"/>
      <w:marBottom w:val="0"/>
      <w:divBdr>
        <w:top w:val="none" w:sz="0" w:space="0" w:color="auto"/>
        <w:left w:val="none" w:sz="0" w:space="0" w:color="auto"/>
        <w:bottom w:val="none" w:sz="0" w:space="0" w:color="auto"/>
        <w:right w:val="none" w:sz="0" w:space="0" w:color="auto"/>
      </w:divBdr>
      <w:divsChild>
        <w:div w:id="1969584821">
          <w:marLeft w:val="0"/>
          <w:marRight w:val="0"/>
          <w:marTop w:val="0"/>
          <w:marBottom w:val="0"/>
          <w:divBdr>
            <w:top w:val="none" w:sz="0" w:space="0" w:color="auto"/>
            <w:left w:val="none" w:sz="0" w:space="0" w:color="auto"/>
            <w:bottom w:val="none" w:sz="0" w:space="0" w:color="auto"/>
            <w:right w:val="none" w:sz="0" w:space="0" w:color="auto"/>
          </w:divBdr>
        </w:div>
      </w:divsChild>
    </w:div>
    <w:div w:id="667828403">
      <w:bodyDiv w:val="1"/>
      <w:marLeft w:val="0"/>
      <w:marRight w:val="0"/>
      <w:marTop w:val="0"/>
      <w:marBottom w:val="0"/>
      <w:divBdr>
        <w:top w:val="none" w:sz="0" w:space="0" w:color="auto"/>
        <w:left w:val="none" w:sz="0" w:space="0" w:color="auto"/>
        <w:bottom w:val="none" w:sz="0" w:space="0" w:color="auto"/>
        <w:right w:val="none" w:sz="0" w:space="0" w:color="auto"/>
      </w:divBdr>
    </w:div>
    <w:div w:id="687293549">
      <w:bodyDiv w:val="1"/>
      <w:marLeft w:val="0"/>
      <w:marRight w:val="0"/>
      <w:marTop w:val="0"/>
      <w:marBottom w:val="0"/>
      <w:divBdr>
        <w:top w:val="none" w:sz="0" w:space="0" w:color="auto"/>
        <w:left w:val="none" w:sz="0" w:space="0" w:color="auto"/>
        <w:bottom w:val="none" w:sz="0" w:space="0" w:color="auto"/>
        <w:right w:val="none" w:sz="0" w:space="0" w:color="auto"/>
      </w:divBdr>
      <w:divsChild>
        <w:div w:id="1769613809">
          <w:marLeft w:val="547"/>
          <w:marRight w:val="0"/>
          <w:marTop w:val="0"/>
          <w:marBottom w:val="0"/>
          <w:divBdr>
            <w:top w:val="none" w:sz="0" w:space="0" w:color="auto"/>
            <w:left w:val="none" w:sz="0" w:space="0" w:color="auto"/>
            <w:bottom w:val="none" w:sz="0" w:space="0" w:color="auto"/>
            <w:right w:val="none" w:sz="0" w:space="0" w:color="auto"/>
          </w:divBdr>
        </w:div>
      </w:divsChild>
    </w:div>
    <w:div w:id="730617102">
      <w:bodyDiv w:val="1"/>
      <w:marLeft w:val="0"/>
      <w:marRight w:val="0"/>
      <w:marTop w:val="0"/>
      <w:marBottom w:val="0"/>
      <w:divBdr>
        <w:top w:val="none" w:sz="0" w:space="0" w:color="auto"/>
        <w:left w:val="none" w:sz="0" w:space="0" w:color="auto"/>
        <w:bottom w:val="none" w:sz="0" w:space="0" w:color="auto"/>
        <w:right w:val="none" w:sz="0" w:space="0" w:color="auto"/>
      </w:divBdr>
    </w:div>
    <w:div w:id="759060794">
      <w:bodyDiv w:val="1"/>
      <w:marLeft w:val="0"/>
      <w:marRight w:val="0"/>
      <w:marTop w:val="0"/>
      <w:marBottom w:val="0"/>
      <w:divBdr>
        <w:top w:val="none" w:sz="0" w:space="0" w:color="auto"/>
        <w:left w:val="none" w:sz="0" w:space="0" w:color="auto"/>
        <w:bottom w:val="none" w:sz="0" w:space="0" w:color="auto"/>
        <w:right w:val="none" w:sz="0" w:space="0" w:color="auto"/>
      </w:divBdr>
    </w:div>
    <w:div w:id="774135445">
      <w:bodyDiv w:val="1"/>
      <w:marLeft w:val="0"/>
      <w:marRight w:val="0"/>
      <w:marTop w:val="0"/>
      <w:marBottom w:val="0"/>
      <w:divBdr>
        <w:top w:val="none" w:sz="0" w:space="0" w:color="auto"/>
        <w:left w:val="none" w:sz="0" w:space="0" w:color="auto"/>
        <w:bottom w:val="none" w:sz="0" w:space="0" w:color="auto"/>
        <w:right w:val="none" w:sz="0" w:space="0" w:color="auto"/>
      </w:divBdr>
    </w:div>
    <w:div w:id="803040966">
      <w:bodyDiv w:val="1"/>
      <w:marLeft w:val="0"/>
      <w:marRight w:val="0"/>
      <w:marTop w:val="0"/>
      <w:marBottom w:val="0"/>
      <w:divBdr>
        <w:top w:val="none" w:sz="0" w:space="0" w:color="auto"/>
        <w:left w:val="none" w:sz="0" w:space="0" w:color="auto"/>
        <w:bottom w:val="none" w:sz="0" w:space="0" w:color="auto"/>
        <w:right w:val="none" w:sz="0" w:space="0" w:color="auto"/>
      </w:divBdr>
    </w:div>
    <w:div w:id="842941377">
      <w:bodyDiv w:val="1"/>
      <w:marLeft w:val="0"/>
      <w:marRight w:val="0"/>
      <w:marTop w:val="0"/>
      <w:marBottom w:val="0"/>
      <w:divBdr>
        <w:top w:val="none" w:sz="0" w:space="0" w:color="auto"/>
        <w:left w:val="none" w:sz="0" w:space="0" w:color="auto"/>
        <w:bottom w:val="none" w:sz="0" w:space="0" w:color="auto"/>
        <w:right w:val="none" w:sz="0" w:space="0" w:color="auto"/>
      </w:divBdr>
      <w:divsChild>
        <w:div w:id="2089690226">
          <w:marLeft w:val="0"/>
          <w:marRight w:val="0"/>
          <w:marTop w:val="0"/>
          <w:marBottom w:val="0"/>
          <w:divBdr>
            <w:top w:val="none" w:sz="0" w:space="0" w:color="auto"/>
            <w:left w:val="none" w:sz="0" w:space="0" w:color="auto"/>
            <w:bottom w:val="none" w:sz="0" w:space="0" w:color="auto"/>
            <w:right w:val="none" w:sz="0" w:space="0" w:color="auto"/>
          </w:divBdr>
        </w:div>
        <w:div w:id="1363289068">
          <w:marLeft w:val="0"/>
          <w:marRight w:val="0"/>
          <w:marTop w:val="0"/>
          <w:marBottom w:val="0"/>
          <w:divBdr>
            <w:top w:val="none" w:sz="0" w:space="0" w:color="auto"/>
            <w:left w:val="none" w:sz="0" w:space="0" w:color="auto"/>
            <w:bottom w:val="none" w:sz="0" w:space="0" w:color="auto"/>
            <w:right w:val="none" w:sz="0" w:space="0" w:color="auto"/>
          </w:divBdr>
          <w:divsChild>
            <w:div w:id="1819493226">
              <w:marLeft w:val="0"/>
              <w:marRight w:val="0"/>
              <w:marTop w:val="0"/>
              <w:marBottom w:val="0"/>
              <w:divBdr>
                <w:top w:val="none" w:sz="0" w:space="0" w:color="auto"/>
                <w:left w:val="none" w:sz="0" w:space="0" w:color="auto"/>
                <w:bottom w:val="none" w:sz="0" w:space="0" w:color="auto"/>
                <w:right w:val="none" w:sz="0" w:space="0" w:color="auto"/>
              </w:divBdr>
              <w:divsChild>
                <w:div w:id="1249971733">
                  <w:marLeft w:val="0"/>
                  <w:marRight w:val="0"/>
                  <w:marTop w:val="0"/>
                  <w:marBottom w:val="0"/>
                  <w:divBdr>
                    <w:top w:val="none" w:sz="0" w:space="0" w:color="auto"/>
                    <w:left w:val="none" w:sz="0" w:space="0" w:color="auto"/>
                    <w:bottom w:val="none" w:sz="0" w:space="0" w:color="auto"/>
                    <w:right w:val="none" w:sz="0" w:space="0" w:color="auto"/>
                  </w:divBdr>
                </w:div>
                <w:div w:id="1465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37748">
      <w:bodyDiv w:val="1"/>
      <w:marLeft w:val="0"/>
      <w:marRight w:val="0"/>
      <w:marTop w:val="0"/>
      <w:marBottom w:val="0"/>
      <w:divBdr>
        <w:top w:val="none" w:sz="0" w:space="0" w:color="auto"/>
        <w:left w:val="none" w:sz="0" w:space="0" w:color="auto"/>
        <w:bottom w:val="none" w:sz="0" w:space="0" w:color="auto"/>
        <w:right w:val="none" w:sz="0" w:space="0" w:color="auto"/>
      </w:divBdr>
    </w:div>
    <w:div w:id="851721231">
      <w:bodyDiv w:val="1"/>
      <w:marLeft w:val="0"/>
      <w:marRight w:val="0"/>
      <w:marTop w:val="0"/>
      <w:marBottom w:val="0"/>
      <w:divBdr>
        <w:top w:val="none" w:sz="0" w:space="0" w:color="auto"/>
        <w:left w:val="none" w:sz="0" w:space="0" w:color="auto"/>
        <w:bottom w:val="none" w:sz="0" w:space="0" w:color="auto"/>
        <w:right w:val="none" w:sz="0" w:space="0" w:color="auto"/>
      </w:divBdr>
    </w:div>
    <w:div w:id="902913820">
      <w:bodyDiv w:val="1"/>
      <w:marLeft w:val="0"/>
      <w:marRight w:val="0"/>
      <w:marTop w:val="0"/>
      <w:marBottom w:val="0"/>
      <w:divBdr>
        <w:top w:val="none" w:sz="0" w:space="0" w:color="auto"/>
        <w:left w:val="none" w:sz="0" w:space="0" w:color="auto"/>
        <w:bottom w:val="none" w:sz="0" w:space="0" w:color="auto"/>
        <w:right w:val="none" w:sz="0" w:space="0" w:color="auto"/>
      </w:divBdr>
    </w:div>
    <w:div w:id="920480812">
      <w:bodyDiv w:val="1"/>
      <w:marLeft w:val="0"/>
      <w:marRight w:val="0"/>
      <w:marTop w:val="0"/>
      <w:marBottom w:val="0"/>
      <w:divBdr>
        <w:top w:val="none" w:sz="0" w:space="0" w:color="auto"/>
        <w:left w:val="none" w:sz="0" w:space="0" w:color="auto"/>
        <w:bottom w:val="none" w:sz="0" w:space="0" w:color="auto"/>
        <w:right w:val="none" w:sz="0" w:space="0" w:color="auto"/>
      </w:divBdr>
    </w:div>
    <w:div w:id="1006398808">
      <w:bodyDiv w:val="1"/>
      <w:marLeft w:val="0"/>
      <w:marRight w:val="0"/>
      <w:marTop w:val="0"/>
      <w:marBottom w:val="0"/>
      <w:divBdr>
        <w:top w:val="none" w:sz="0" w:space="0" w:color="auto"/>
        <w:left w:val="none" w:sz="0" w:space="0" w:color="auto"/>
        <w:bottom w:val="none" w:sz="0" w:space="0" w:color="auto"/>
        <w:right w:val="none" w:sz="0" w:space="0" w:color="auto"/>
      </w:divBdr>
    </w:div>
    <w:div w:id="1046444588">
      <w:bodyDiv w:val="1"/>
      <w:marLeft w:val="0"/>
      <w:marRight w:val="0"/>
      <w:marTop w:val="0"/>
      <w:marBottom w:val="0"/>
      <w:divBdr>
        <w:top w:val="none" w:sz="0" w:space="0" w:color="auto"/>
        <w:left w:val="none" w:sz="0" w:space="0" w:color="auto"/>
        <w:bottom w:val="none" w:sz="0" w:space="0" w:color="auto"/>
        <w:right w:val="none" w:sz="0" w:space="0" w:color="auto"/>
      </w:divBdr>
    </w:div>
    <w:div w:id="1103572066">
      <w:bodyDiv w:val="1"/>
      <w:marLeft w:val="0"/>
      <w:marRight w:val="0"/>
      <w:marTop w:val="0"/>
      <w:marBottom w:val="0"/>
      <w:divBdr>
        <w:top w:val="none" w:sz="0" w:space="0" w:color="auto"/>
        <w:left w:val="none" w:sz="0" w:space="0" w:color="auto"/>
        <w:bottom w:val="none" w:sz="0" w:space="0" w:color="auto"/>
        <w:right w:val="none" w:sz="0" w:space="0" w:color="auto"/>
      </w:divBdr>
      <w:divsChild>
        <w:div w:id="153568906">
          <w:marLeft w:val="0"/>
          <w:marRight w:val="0"/>
          <w:marTop w:val="0"/>
          <w:marBottom w:val="0"/>
          <w:divBdr>
            <w:top w:val="none" w:sz="0" w:space="0" w:color="auto"/>
            <w:left w:val="none" w:sz="0" w:space="0" w:color="auto"/>
            <w:bottom w:val="none" w:sz="0" w:space="0" w:color="auto"/>
            <w:right w:val="none" w:sz="0" w:space="0" w:color="auto"/>
          </w:divBdr>
        </w:div>
      </w:divsChild>
    </w:div>
    <w:div w:id="1164316369">
      <w:bodyDiv w:val="1"/>
      <w:marLeft w:val="0"/>
      <w:marRight w:val="0"/>
      <w:marTop w:val="0"/>
      <w:marBottom w:val="0"/>
      <w:divBdr>
        <w:top w:val="none" w:sz="0" w:space="0" w:color="auto"/>
        <w:left w:val="none" w:sz="0" w:space="0" w:color="auto"/>
        <w:bottom w:val="none" w:sz="0" w:space="0" w:color="auto"/>
        <w:right w:val="none" w:sz="0" w:space="0" w:color="auto"/>
      </w:divBdr>
    </w:div>
    <w:div w:id="1299650218">
      <w:bodyDiv w:val="1"/>
      <w:marLeft w:val="0"/>
      <w:marRight w:val="0"/>
      <w:marTop w:val="0"/>
      <w:marBottom w:val="0"/>
      <w:divBdr>
        <w:top w:val="none" w:sz="0" w:space="0" w:color="auto"/>
        <w:left w:val="none" w:sz="0" w:space="0" w:color="auto"/>
        <w:bottom w:val="none" w:sz="0" w:space="0" w:color="auto"/>
        <w:right w:val="none" w:sz="0" w:space="0" w:color="auto"/>
      </w:divBdr>
    </w:div>
    <w:div w:id="1536652875">
      <w:bodyDiv w:val="1"/>
      <w:marLeft w:val="0"/>
      <w:marRight w:val="0"/>
      <w:marTop w:val="0"/>
      <w:marBottom w:val="0"/>
      <w:divBdr>
        <w:top w:val="none" w:sz="0" w:space="0" w:color="auto"/>
        <w:left w:val="none" w:sz="0" w:space="0" w:color="auto"/>
        <w:bottom w:val="none" w:sz="0" w:space="0" w:color="auto"/>
        <w:right w:val="none" w:sz="0" w:space="0" w:color="auto"/>
      </w:divBdr>
      <w:divsChild>
        <w:div w:id="1956406740">
          <w:marLeft w:val="0"/>
          <w:marRight w:val="0"/>
          <w:marTop w:val="0"/>
          <w:marBottom w:val="0"/>
          <w:divBdr>
            <w:top w:val="none" w:sz="0" w:space="0" w:color="auto"/>
            <w:left w:val="none" w:sz="0" w:space="0" w:color="auto"/>
            <w:bottom w:val="none" w:sz="0" w:space="0" w:color="auto"/>
            <w:right w:val="none" w:sz="0" w:space="0" w:color="auto"/>
          </w:divBdr>
        </w:div>
        <w:div w:id="513376142">
          <w:marLeft w:val="0"/>
          <w:marRight w:val="0"/>
          <w:marTop w:val="0"/>
          <w:marBottom w:val="0"/>
          <w:divBdr>
            <w:top w:val="none" w:sz="0" w:space="0" w:color="auto"/>
            <w:left w:val="none" w:sz="0" w:space="0" w:color="auto"/>
            <w:bottom w:val="none" w:sz="0" w:space="0" w:color="auto"/>
            <w:right w:val="none" w:sz="0" w:space="0" w:color="auto"/>
          </w:divBdr>
        </w:div>
        <w:div w:id="97021218">
          <w:marLeft w:val="0"/>
          <w:marRight w:val="0"/>
          <w:marTop w:val="0"/>
          <w:marBottom w:val="0"/>
          <w:divBdr>
            <w:top w:val="none" w:sz="0" w:space="0" w:color="auto"/>
            <w:left w:val="none" w:sz="0" w:space="0" w:color="auto"/>
            <w:bottom w:val="none" w:sz="0" w:space="0" w:color="auto"/>
            <w:right w:val="none" w:sz="0" w:space="0" w:color="auto"/>
          </w:divBdr>
        </w:div>
        <w:div w:id="1360467070">
          <w:marLeft w:val="0"/>
          <w:marRight w:val="0"/>
          <w:marTop w:val="0"/>
          <w:marBottom w:val="0"/>
          <w:divBdr>
            <w:top w:val="none" w:sz="0" w:space="0" w:color="auto"/>
            <w:left w:val="none" w:sz="0" w:space="0" w:color="auto"/>
            <w:bottom w:val="none" w:sz="0" w:space="0" w:color="auto"/>
            <w:right w:val="none" w:sz="0" w:space="0" w:color="auto"/>
          </w:divBdr>
        </w:div>
        <w:div w:id="1164665680">
          <w:marLeft w:val="0"/>
          <w:marRight w:val="0"/>
          <w:marTop w:val="0"/>
          <w:marBottom w:val="0"/>
          <w:divBdr>
            <w:top w:val="none" w:sz="0" w:space="0" w:color="auto"/>
            <w:left w:val="none" w:sz="0" w:space="0" w:color="auto"/>
            <w:bottom w:val="none" w:sz="0" w:space="0" w:color="auto"/>
            <w:right w:val="none" w:sz="0" w:space="0" w:color="auto"/>
          </w:divBdr>
        </w:div>
      </w:divsChild>
    </w:div>
    <w:div w:id="1611351416">
      <w:bodyDiv w:val="1"/>
      <w:marLeft w:val="0"/>
      <w:marRight w:val="0"/>
      <w:marTop w:val="0"/>
      <w:marBottom w:val="0"/>
      <w:divBdr>
        <w:top w:val="none" w:sz="0" w:space="0" w:color="auto"/>
        <w:left w:val="none" w:sz="0" w:space="0" w:color="auto"/>
        <w:bottom w:val="none" w:sz="0" w:space="0" w:color="auto"/>
        <w:right w:val="none" w:sz="0" w:space="0" w:color="auto"/>
      </w:divBdr>
      <w:divsChild>
        <w:div w:id="972367023">
          <w:marLeft w:val="0"/>
          <w:marRight w:val="450"/>
          <w:marTop w:val="45"/>
          <w:marBottom w:val="345"/>
          <w:divBdr>
            <w:top w:val="none" w:sz="0" w:space="0" w:color="auto"/>
            <w:left w:val="none" w:sz="0" w:space="0" w:color="auto"/>
            <w:bottom w:val="none" w:sz="0" w:space="0" w:color="auto"/>
            <w:right w:val="none" w:sz="0" w:space="0" w:color="auto"/>
          </w:divBdr>
          <w:divsChild>
            <w:div w:id="1847211537">
              <w:marLeft w:val="0"/>
              <w:marRight w:val="0"/>
              <w:marTop w:val="0"/>
              <w:marBottom w:val="0"/>
              <w:divBdr>
                <w:top w:val="none" w:sz="0" w:space="0" w:color="auto"/>
                <w:left w:val="none" w:sz="0" w:space="0" w:color="auto"/>
                <w:bottom w:val="none" w:sz="0" w:space="0" w:color="auto"/>
                <w:right w:val="none" w:sz="0" w:space="0" w:color="auto"/>
              </w:divBdr>
              <w:divsChild>
                <w:div w:id="255358834">
                  <w:marLeft w:val="0"/>
                  <w:marRight w:val="0"/>
                  <w:marTop w:val="0"/>
                  <w:marBottom w:val="0"/>
                  <w:divBdr>
                    <w:top w:val="none" w:sz="0" w:space="0" w:color="auto"/>
                    <w:left w:val="none" w:sz="0" w:space="0" w:color="auto"/>
                    <w:bottom w:val="none" w:sz="0" w:space="0" w:color="auto"/>
                    <w:right w:val="none" w:sz="0" w:space="0" w:color="auto"/>
                  </w:divBdr>
                  <w:divsChild>
                    <w:div w:id="1847866991">
                      <w:marLeft w:val="0"/>
                      <w:marRight w:val="0"/>
                      <w:marTop w:val="0"/>
                      <w:marBottom w:val="0"/>
                      <w:divBdr>
                        <w:top w:val="none" w:sz="0" w:space="0" w:color="auto"/>
                        <w:left w:val="none" w:sz="0" w:space="0" w:color="auto"/>
                        <w:bottom w:val="none" w:sz="0" w:space="0" w:color="auto"/>
                        <w:right w:val="none" w:sz="0" w:space="0" w:color="auto"/>
                      </w:divBdr>
                    </w:div>
                    <w:div w:id="11838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671022">
      <w:bodyDiv w:val="1"/>
      <w:marLeft w:val="0"/>
      <w:marRight w:val="0"/>
      <w:marTop w:val="0"/>
      <w:marBottom w:val="0"/>
      <w:divBdr>
        <w:top w:val="none" w:sz="0" w:space="0" w:color="auto"/>
        <w:left w:val="none" w:sz="0" w:space="0" w:color="auto"/>
        <w:bottom w:val="none" w:sz="0" w:space="0" w:color="auto"/>
        <w:right w:val="none" w:sz="0" w:space="0" w:color="auto"/>
      </w:divBdr>
    </w:div>
    <w:div w:id="1663896219">
      <w:bodyDiv w:val="1"/>
      <w:marLeft w:val="0"/>
      <w:marRight w:val="0"/>
      <w:marTop w:val="0"/>
      <w:marBottom w:val="0"/>
      <w:divBdr>
        <w:top w:val="none" w:sz="0" w:space="0" w:color="auto"/>
        <w:left w:val="none" w:sz="0" w:space="0" w:color="auto"/>
        <w:bottom w:val="none" w:sz="0" w:space="0" w:color="auto"/>
        <w:right w:val="none" w:sz="0" w:space="0" w:color="auto"/>
      </w:divBdr>
    </w:div>
    <w:div w:id="1684015490">
      <w:bodyDiv w:val="1"/>
      <w:marLeft w:val="0"/>
      <w:marRight w:val="0"/>
      <w:marTop w:val="0"/>
      <w:marBottom w:val="0"/>
      <w:divBdr>
        <w:top w:val="none" w:sz="0" w:space="0" w:color="auto"/>
        <w:left w:val="none" w:sz="0" w:space="0" w:color="auto"/>
        <w:bottom w:val="none" w:sz="0" w:space="0" w:color="auto"/>
        <w:right w:val="none" w:sz="0" w:space="0" w:color="auto"/>
      </w:divBdr>
    </w:div>
    <w:div w:id="1698698237">
      <w:bodyDiv w:val="1"/>
      <w:marLeft w:val="0"/>
      <w:marRight w:val="0"/>
      <w:marTop w:val="0"/>
      <w:marBottom w:val="0"/>
      <w:divBdr>
        <w:top w:val="none" w:sz="0" w:space="0" w:color="auto"/>
        <w:left w:val="none" w:sz="0" w:space="0" w:color="auto"/>
        <w:bottom w:val="none" w:sz="0" w:space="0" w:color="auto"/>
        <w:right w:val="none" w:sz="0" w:space="0" w:color="auto"/>
      </w:divBdr>
    </w:div>
    <w:div w:id="1703825186">
      <w:bodyDiv w:val="1"/>
      <w:marLeft w:val="0"/>
      <w:marRight w:val="0"/>
      <w:marTop w:val="0"/>
      <w:marBottom w:val="0"/>
      <w:divBdr>
        <w:top w:val="none" w:sz="0" w:space="0" w:color="auto"/>
        <w:left w:val="none" w:sz="0" w:space="0" w:color="auto"/>
        <w:bottom w:val="none" w:sz="0" w:space="0" w:color="auto"/>
        <w:right w:val="none" w:sz="0" w:space="0" w:color="auto"/>
      </w:divBdr>
    </w:div>
    <w:div w:id="1731270011">
      <w:bodyDiv w:val="1"/>
      <w:marLeft w:val="0"/>
      <w:marRight w:val="0"/>
      <w:marTop w:val="0"/>
      <w:marBottom w:val="0"/>
      <w:divBdr>
        <w:top w:val="none" w:sz="0" w:space="0" w:color="auto"/>
        <w:left w:val="none" w:sz="0" w:space="0" w:color="auto"/>
        <w:bottom w:val="none" w:sz="0" w:space="0" w:color="auto"/>
        <w:right w:val="none" w:sz="0" w:space="0" w:color="auto"/>
      </w:divBdr>
      <w:divsChild>
        <w:div w:id="925501603">
          <w:marLeft w:val="0"/>
          <w:marRight w:val="0"/>
          <w:marTop w:val="0"/>
          <w:marBottom w:val="0"/>
          <w:divBdr>
            <w:top w:val="none" w:sz="0" w:space="0" w:color="auto"/>
            <w:left w:val="none" w:sz="0" w:space="0" w:color="auto"/>
            <w:bottom w:val="none" w:sz="0" w:space="0" w:color="auto"/>
            <w:right w:val="none" w:sz="0" w:space="0" w:color="auto"/>
          </w:divBdr>
        </w:div>
      </w:divsChild>
    </w:div>
    <w:div w:id="1741781247">
      <w:bodyDiv w:val="1"/>
      <w:marLeft w:val="0"/>
      <w:marRight w:val="0"/>
      <w:marTop w:val="0"/>
      <w:marBottom w:val="0"/>
      <w:divBdr>
        <w:top w:val="none" w:sz="0" w:space="0" w:color="auto"/>
        <w:left w:val="none" w:sz="0" w:space="0" w:color="auto"/>
        <w:bottom w:val="none" w:sz="0" w:space="0" w:color="auto"/>
        <w:right w:val="none" w:sz="0" w:space="0" w:color="auto"/>
      </w:divBdr>
    </w:div>
    <w:div w:id="1747997009">
      <w:bodyDiv w:val="1"/>
      <w:marLeft w:val="0"/>
      <w:marRight w:val="0"/>
      <w:marTop w:val="0"/>
      <w:marBottom w:val="0"/>
      <w:divBdr>
        <w:top w:val="none" w:sz="0" w:space="0" w:color="auto"/>
        <w:left w:val="none" w:sz="0" w:space="0" w:color="auto"/>
        <w:bottom w:val="none" w:sz="0" w:space="0" w:color="auto"/>
        <w:right w:val="none" w:sz="0" w:space="0" w:color="auto"/>
      </w:divBdr>
    </w:div>
    <w:div w:id="1757171534">
      <w:bodyDiv w:val="1"/>
      <w:marLeft w:val="0"/>
      <w:marRight w:val="0"/>
      <w:marTop w:val="0"/>
      <w:marBottom w:val="0"/>
      <w:divBdr>
        <w:top w:val="none" w:sz="0" w:space="0" w:color="auto"/>
        <w:left w:val="none" w:sz="0" w:space="0" w:color="auto"/>
        <w:bottom w:val="none" w:sz="0" w:space="0" w:color="auto"/>
        <w:right w:val="none" w:sz="0" w:space="0" w:color="auto"/>
      </w:divBdr>
      <w:divsChild>
        <w:div w:id="618337014">
          <w:marLeft w:val="0"/>
          <w:marRight w:val="0"/>
          <w:marTop w:val="0"/>
          <w:marBottom w:val="0"/>
          <w:divBdr>
            <w:top w:val="none" w:sz="0" w:space="0" w:color="auto"/>
            <w:left w:val="none" w:sz="0" w:space="0" w:color="auto"/>
            <w:bottom w:val="none" w:sz="0" w:space="0" w:color="auto"/>
            <w:right w:val="none" w:sz="0" w:space="0" w:color="auto"/>
          </w:divBdr>
        </w:div>
      </w:divsChild>
    </w:div>
    <w:div w:id="1834562138">
      <w:bodyDiv w:val="1"/>
      <w:marLeft w:val="0"/>
      <w:marRight w:val="0"/>
      <w:marTop w:val="0"/>
      <w:marBottom w:val="0"/>
      <w:divBdr>
        <w:top w:val="none" w:sz="0" w:space="0" w:color="auto"/>
        <w:left w:val="none" w:sz="0" w:space="0" w:color="auto"/>
        <w:bottom w:val="none" w:sz="0" w:space="0" w:color="auto"/>
        <w:right w:val="none" w:sz="0" w:space="0" w:color="auto"/>
      </w:divBdr>
      <w:divsChild>
        <w:div w:id="1167210066">
          <w:marLeft w:val="360"/>
          <w:marRight w:val="0"/>
          <w:marTop w:val="0"/>
          <w:marBottom w:val="0"/>
          <w:divBdr>
            <w:top w:val="none" w:sz="0" w:space="0" w:color="auto"/>
            <w:left w:val="none" w:sz="0" w:space="0" w:color="auto"/>
            <w:bottom w:val="none" w:sz="0" w:space="0" w:color="auto"/>
            <w:right w:val="none" w:sz="0" w:space="0" w:color="auto"/>
          </w:divBdr>
        </w:div>
        <w:div w:id="436797556">
          <w:marLeft w:val="360"/>
          <w:marRight w:val="0"/>
          <w:marTop w:val="0"/>
          <w:marBottom w:val="0"/>
          <w:divBdr>
            <w:top w:val="none" w:sz="0" w:space="0" w:color="auto"/>
            <w:left w:val="none" w:sz="0" w:space="0" w:color="auto"/>
            <w:bottom w:val="none" w:sz="0" w:space="0" w:color="auto"/>
            <w:right w:val="none" w:sz="0" w:space="0" w:color="auto"/>
          </w:divBdr>
        </w:div>
      </w:divsChild>
    </w:div>
    <w:div w:id="1859276035">
      <w:bodyDiv w:val="1"/>
      <w:marLeft w:val="0"/>
      <w:marRight w:val="0"/>
      <w:marTop w:val="0"/>
      <w:marBottom w:val="0"/>
      <w:divBdr>
        <w:top w:val="none" w:sz="0" w:space="0" w:color="auto"/>
        <w:left w:val="none" w:sz="0" w:space="0" w:color="auto"/>
        <w:bottom w:val="none" w:sz="0" w:space="0" w:color="auto"/>
        <w:right w:val="none" w:sz="0" w:space="0" w:color="auto"/>
      </w:divBdr>
    </w:div>
    <w:div w:id="1915045441">
      <w:bodyDiv w:val="1"/>
      <w:marLeft w:val="0"/>
      <w:marRight w:val="0"/>
      <w:marTop w:val="0"/>
      <w:marBottom w:val="0"/>
      <w:divBdr>
        <w:top w:val="none" w:sz="0" w:space="0" w:color="auto"/>
        <w:left w:val="none" w:sz="0" w:space="0" w:color="auto"/>
        <w:bottom w:val="none" w:sz="0" w:space="0" w:color="auto"/>
        <w:right w:val="none" w:sz="0" w:space="0" w:color="auto"/>
      </w:divBdr>
    </w:div>
    <w:div w:id="2057313071">
      <w:bodyDiv w:val="1"/>
      <w:marLeft w:val="0"/>
      <w:marRight w:val="0"/>
      <w:marTop w:val="0"/>
      <w:marBottom w:val="0"/>
      <w:divBdr>
        <w:top w:val="none" w:sz="0" w:space="0" w:color="auto"/>
        <w:left w:val="none" w:sz="0" w:space="0" w:color="auto"/>
        <w:bottom w:val="none" w:sz="0" w:space="0" w:color="auto"/>
        <w:right w:val="none" w:sz="0" w:space="0" w:color="auto"/>
      </w:divBdr>
    </w:div>
    <w:div w:id="2064139339">
      <w:bodyDiv w:val="1"/>
      <w:marLeft w:val="0"/>
      <w:marRight w:val="0"/>
      <w:marTop w:val="0"/>
      <w:marBottom w:val="0"/>
      <w:divBdr>
        <w:top w:val="none" w:sz="0" w:space="0" w:color="auto"/>
        <w:left w:val="none" w:sz="0" w:space="0" w:color="auto"/>
        <w:bottom w:val="none" w:sz="0" w:space="0" w:color="auto"/>
        <w:right w:val="none" w:sz="0" w:space="0" w:color="auto"/>
      </w:divBdr>
      <w:divsChild>
        <w:div w:id="664359661">
          <w:marLeft w:val="0"/>
          <w:marRight w:val="0"/>
          <w:marTop w:val="0"/>
          <w:marBottom w:val="0"/>
          <w:divBdr>
            <w:top w:val="none" w:sz="0" w:space="0" w:color="auto"/>
            <w:left w:val="none" w:sz="0" w:space="0" w:color="auto"/>
            <w:bottom w:val="none" w:sz="0" w:space="0" w:color="auto"/>
            <w:right w:val="none" w:sz="0" w:space="0" w:color="auto"/>
          </w:divBdr>
        </w:div>
      </w:divsChild>
    </w:div>
    <w:div w:id="2101171832">
      <w:bodyDiv w:val="1"/>
      <w:marLeft w:val="0"/>
      <w:marRight w:val="0"/>
      <w:marTop w:val="0"/>
      <w:marBottom w:val="0"/>
      <w:divBdr>
        <w:top w:val="none" w:sz="0" w:space="0" w:color="auto"/>
        <w:left w:val="none" w:sz="0" w:space="0" w:color="auto"/>
        <w:bottom w:val="none" w:sz="0" w:space="0" w:color="auto"/>
        <w:right w:val="none" w:sz="0" w:space="0" w:color="auto"/>
      </w:divBdr>
    </w:div>
    <w:div w:id="2130969364">
      <w:bodyDiv w:val="1"/>
      <w:marLeft w:val="0"/>
      <w:marRight w:val="0"/>
      <w:marTop w:val="0"/>
      <w:marBottom w:val="0"/>
      <w:divBdr>
        <w:top w:val="none" w:sz="0" w:space="0" w:color="auto"/>
        <w:left w:val="none" w:sz="0" w:space="0" w:color="auto"/>
        <w:bottom w:val="none" w:sz="0" w:space="0" w:color="auto"/>
        <w:right w:val="none" w:sz="0" w:space="0" w:color="auto"/>
      </w:divBdr>
      <w:divsChild>
        <w:div w:id="8021164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E:\DHS%20Related\Economics\Economics%20Tutorial\2019_20%20Year%205%20&amp;%20Year%206\Assessment\2020\Prelim\Human%20Development%20Index%20(HD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Sheet1!$B$3</c:f>
              <c:strCache>
                <c:ptCount val="1"/>
                <c:pt idx="0">
                  <c:v>Indonesia</c:v>
                </c:pt>
              </c:strCache>
            </c:strRef>
          </c:tx>
          <c:spPr>
            <a:pattFill prst="pct90">
              <a:fgClr>
                <a:srgbClr val="000000"/>
              </a:fgClr>
              <a:bgClr>
                <a:schemeClr val="bg1"/>
              </a:bgClr>
            </a:pattFill>
            <a:ln>
              <a:noFill/>
            </a:ln>
            <a:effectLst/>
          </c:spPr>
          <c:invertIfNegative val="0"/>
          <c:cat>
            <c:numRef>
              <c:f>Sheet1!$C$2:$G$2</c:f>
              <c:numCache>
                <c:formatCode>General</c:formatCode>
                <c:ptCount val="5"/>
                <c:pt idx="0">
                  <c:v>2015</c:v>
                </c:pt>
                <c:pt idx="1">
                  <c:v>2016</c:v>
                </c:pt>
                <c:pt idx="2">
                  <c:v>2017</c:v>
                </c:pt>
                <c:pt idx="3">
                  <c:v>2018</c:v>
                </c:pt>
                <c:pt idx="4">
                  <c:v>2019</c:v>
                </c:pt>
              </c:numCache>
            </c:numRef>
          </c:cat>
          <c:val>
            <c:numRef>
              <c:f>Sheet1!$C$3:$G$3</c:f>
              <c:numCache>
                <c:formatCode>General</c:formatCode>
                <c:ptCount val="5"/>
                <c:pt idx="0">
                  <c:v>-2.6</c:v>
                </c:pt>
                <c:pt idx="1">
                  <c:v>-2.4900000000000002</c:v>
                </c:pt>
                <c:pt idx="2">
                  <c:v>-2.5099999999999998</c:v>
                </c:pt>
                <c:pt idx="3">
                  <c:v>-1.75</c:v>
                </c:pt>
                <c:pt idx="4">
                  <c:v>-2.23</c:v>
                </c:pt>
              </c:numCache>
            </c:numRef>
          </c:val>
          <c:extLst>
            <c:ext xmlns:c16="http://schemas.microsoft.com/office/drawing/2014/chart" uri="{C3380CC4-5D6E-409C-BE32-E72D297353CC}">
              <c16:uniqueId val="{00000000-2C91-41D9-886C-718BCEE805AC}"/>
            </c:ext>
          </c:extLst>
        </c:ser>
        <c:ser>
          <c:idx val="1"/>
          <c:order val="1"/>
          <c:tx>
            <c:strRef>
              <c:f>Sheet1!$B$4</c:f>
              <c:strCache>
                <c:ptCount val="1"/>
                <c:pt idx="0">
                  <c:v>Malaysia</c:v>
                </c:pt>
              </c:strCache>
            </c:strRef>
          </c:tx>
          <c:spPr>
            <a:solidFill>
              <a:schemeClr val="dk1">
                <a:tint val="55000"/>
              </a:schemeClr>
            </a:solidFill>
            <a:ln>
              <a:noFill/>
            </a:ln>
            <a:effectLst/>
          </c:spPr>
          <c:invertIfNegative val="0"/>
          <c:cat>
            <c:numRef>
              <c:f>Sheet1!$C$2:$G$2</c:f>
              <c:numCache>
                <c:formatCode>General</c:formatCode>
                <c:ptCount val="5"/>
                <c:pt idx="0">
                  <c:v>2015</c:v>
                </c:pt>
                <c:pt idx="1">
                  <c:v>2016</c:v>
                </c:pt>
                <c:pt idx="2">
                  <c:v>2017</c:v>
                </c:pt>
                <c:pt idx="3">
                  <c:v>2018</c:v>
                </c:pt>
                <c:pt idx="4">
                  <c:v>2019</c:v>
                </c:pt>
              </c:numCache>
            </c:numRef>
          </c:cat>
          <c:val>
            <c:numRef>
              <c:f>Sheet1!$C$4:$G$4</c:f>
            </c:numRef>
          </c:val>
          <c:extLst>
            <c:ext xmlns:c16="http://schemas.microsoft.com/office/drawing/2014/chart" uri="{C3380CC4-5D6E-409C-BE32-E72D297353CC}">
              <c16:uniqueId val="{00000001-2C91-41D9-886C-718BCEE805AC}"/>
            </c:ext>
          </c:extLst>
        </c:ser>
        <c:ser>
          <c:idx val="2"/>
          <c:order val="2"/>
          <c:tx>
            <c:strRef>
              <c:f>Sheet1!$B$5</c:f>
              <c:strCache>
                <c:ptCount val="1"/>
                <c:pt idx="0">
                  <c:v>Philippines</c:v>
                </c:pt>
              </c:strCache>
            </c:strRef>
          </c:tx>
          <c:spPr>
            <a:pattFill prst="pct50">
              <a:fgClr>
                <a:srgbClr val="000000"/>
              </a:fgClr>
              <a:bgClr>
                <a:schemeClr val="bg1"/>
              </a:bgClr>
            </a:pattFill>
            <a:ln>
              <a:noFill/>
            </a:ln>
            <a:effectLst/>
          </c:spPr>
          <c:invertIfNegative val="0"/>
          <c:cat>
            <c:numRef>
              <c:f>Sheet1!$C$2:$G$2</c:f>
              <c:numCache>
                <c:formatCode>General</c:formatCode>
                <c:ptCount val="5"/>
                <c:pt idx="0">
                  <c:v>2015</c:v>
                </c:pt>
                <c:pt idx="1">
                  <c:v>2016</c:v>
                </c:pt>
                <c:pt idx="2">
                  <c:v>2017</c:v>
                </c:pt>
                <c:pt idx="3">
                  <c:v>2018</c:v>
                </c:pt>
                <c:pt idx="4">
                  <c:v>2019</c:v>
                </c:pt>
              </c:numCache>
            </c:numRef>
          </c:cat>
          <c:val>
            <c:numRef>
              <c:f>Sheet1!$C$5:$G$5</c:f>
              <c:numCache>
                <c:formatCode>General</c:formatCode>
                <c:ptCount val="5"/>
                <c:pt idx="0">
                  <c:v>-0.61</c:v>
                </c:pt>
                <c:pt idx="1">
                  <c:v>-0.37</c:v>
                </c:pt>
                <c:pt idx="2">
                  <c:v>-0.39</c:v>
                </c:pt>
                <c:pt idx="3">
                  <c:v>-1.63</c:v>
                </c:pt>
                <c:pt idx="4">
                  <c:v>-1.93</c:v>
                </c:pt>
              </c:numCache>
            </c:numRef>
          </c:val>
          <c:extLst>
            <c:ext xmlns:c16="http://schemas.microsoft.com/office/drawing/2014/chart" uri="{C3380CC4-5D6E-409C-BE32-E72D297353CC}">
              <c16:uniqueId val="{00000002-2C91-41D9-886C-718BCEE805AC}"/>
            </c:ext>
          </c:extLst>
        </c:ser>
        <c:ser>
          <c:idx val="3"/>
          <c:order val="3"/>
          <c:tx>
            <c:strRef>
              <c:f>Sheet1!$B$6</c:f>
              <c:strCache>
                <c:ptCount val="1"/>
                <c:pt idx="0">
                  <c:v>Singapore</c:v>
                </c:pt>
              </c:strCache>
            </c:strRef>
          </c:tx>
          <c:spPr>
            <a:solidFill>
              <a:schemeClr val="dk1">
                <a:tint val="98500"/>
              </a:schemeClr>
            </a:solidFill>
            <a:ln>
              <a:noFill/>
            </a:ln>
            <a:effectLst/>
          </c:spPr>
          <c:invertIfNegative val="0"/>
          <c:cat>
            <c:numRef>
              <c:f>Sheet1!$C$2:$G$2</c:f>
              <c:numCache>
                <c:formatCode>General</c:formatCode>
                <c:ptCount val="5"/>
                <c:pt idx="0">
                  <c:v>2015</c:v>
                </c:pt>
                <c:pt idx="1">
                  <c:v>2016</c:v>
                </c:pt>
                <c:pt idx="2">
                  <c:v>2017</c:v>
                </c:pt>
                <c:pt idx="3">
                  <c:v>2018</c:v>
                </c:pt>
                <c:pt idx="4">
                  <c:v>2019</c:v>
                </c:pt>
              </c:numCache>
            </c:numRef>
          </c:cat>
          <c:val>
            <c:numRef>
              <c:f>Sheet1!$C$6:$G$6</c:f>
            </c:numRef>
          </c:val>
          <c:extLst>
            <c:ext xmlns:c16="http://schemas.microsoft.com/office/drawing/2014/chart" uri="{C3380CC4-5D6E-409C-BE32-E72D297353CC}">
              <c16:uniqueId val="{00000003-2C91-41D9-886C-718BCEE805AC}"/>
            </c:ext>
          </c:extLst>
        </c:ser>
        <c:ser>
          <c:idx val="4"/>
          <c:order val="4"/>
          <c:tx>
            <c:strRef>
              <c:f>Sheet1!$B$7</c:f>
              <c:strCache>
                <c:ptCount val="1"/>
                <c:pt idx="0">
                  <c:v>Thailand</c:v>
                </c:pt>
              </c:strCache>
            </c:strRef>
          </c:tx>
          <c:spPr>
            <a:solidFill>
              <a:schemeClr val="dk1">
                <a:tint val="30000"/>
              </a:schemeClr>
            </a:solidFill>
            <a:ln>
              <a:noFill/>
            </a:ln>
            <a:effectLst/>
          </c:spPr>
          <c:invertIfNegative val="0"/>
          <c:cat>
            <c:numRef>
              <c:f>Sheet1!$C$2:$G$2</c:f>
              <c:numCache>
                <c:formatCode>General</c:formatCode>
                <c:ptCount val="5"/>
                <c:pt idx="0">
                  <c:v>2015</c:v>
                </c:pt>
                <c:pt idx="1">
                  <c:v>2016</c:v>
                </c:pt>
                <c:pt idx="2">
                  <c:v>2017</c:v>
                </c:pt>
                <c:pt idx="3">
                  <c:v>2018</c:v>
                </c:pt>
                <c:pt idx="4">
                  <c:v>2019</c:v>
                </c:pt>
              </c:numCache>
            </c:numRef>
          </c:cat>
          <c:val>
            <c:numRef>
              <c:f>Sheet1!$C$7:$G$7</c:f>
            </c:numRef>
          </c:val>
          <c:extLst>
            <c:ext xmlns:c16="http://schemas.microsoft.com/office/drawing/2014/chart" uri="{C3380CC4-5D6E-409C-BE32-E72D297353CC}">
              <c16:uniqueId val="{00000004-2C91-41D9-886C-718BCEE805AC}"/>
            </c:ext>
          </c:extLst>
        </c:ser>
        <c:ser>
          <c:idx val="5"/>
          <c:order val="5"/>
          <c:tx>
            <c:strRef>
              <c:f>Sheet1!$B$8</c:f>
              <c:strCache>
                <c:ptCount val="1"/>
                <c:pt idx="0">
                  <c:v>Vietnam</c:v>
                </c:pt>
              </c:strCache>
            </c:strRef>
          </c:tx>
          <c:spPr>
            <a:pattFill prst="pct20">
              <a:fgClr>
                <a:srgbClr val="000000"/>
              </a:fgClr>
              <a:bgClr>
                <a:schemeClr val="bg1"/>
              </a:bgClr>
            </a:pattFill>
            <a:ln>
              <a:solidFill>
                <a:schemeClr val="accent1">
                  <a:alpha val="97000"/>
                </a:schemeClr>
              </a:solidFill>
            </a:ln>
            <a:effectLst/>
          </c:spPr>
          <c:invertIfNegative val="0"/>
          <c:cat>
            <c:numRef>
              <c:f>Sheet1!$C$2:$G$2</c:f>
              <c:numCache>
                <c:formatCode>General</c:formatCode>
                <c:ptCount val="5"/>
                <c:pt idx="0">
                  <c:v>2015</c:v>
                </c:pt>
                <c:pt idx="1">
                  <c:v>2016</c:v>
                </c:pt>
                <c:pt idx="2">
                  <c:v>2017</c:v>
                </c:pt>
                <c:pt idx="3">
                  <c:v>2018</c:v>
                </c:pt>
                <c:pt idx="4">
                  <c:v>2019</c:v>
                </c:pt>
              </c:numCache>
            </c:numRef>
          </c:cat>
          <c:val>
            <c:numRef>
              <c:f>Sheet1!$C$8:$G$8</c:f>
              <c:numCache>
                <c:formatCode>General</c:formatCode>
                <c:ptCount val="5"/>
                <c:pt idx="0">
                  <c:v>-5.2</c:v>
                </c:pt>
                <c:pt idx="1">
                  <c:v>-3.08</c:v>
                </c:pt>
                <c:pt idx="2">
                  <c:v>-1.96</c:v>
                </c:pt>
                <c:pt idx="3">
                  <c:v>-3.46</c:v>
                </c:pt>
                <c:pt idx="4">
                  <c:v>-3.3</c:v>
                </c:pt>
              </c:numCache>
            </c:numRef>
          </c:val>
          <c:extLst>
            <c:ext xmlns:c16="http://schemas.microsoft.com/office/drawing/2014/chart" uri="{C3380CC4-5D6E-409C-BE32-E72D297353CC}">
              <c16:uniqueId val="{00000005-2C91-41D9-886C-718BCEE805AC}"/>
            </c:ext>
          </c:extLst>
        </c:ser>
        <c:dLbls>
          <c:showLegendKey val="0"/>
          <c:showVal val="0"/>
          <c:showCatName val="0"/>
          <c:showSerName val="0"/>
          <c:showPercent val="0"/>
          <c:showBubbleSize val="0"/>
        </c:dLbls>
        <c:gapWidth val="219"/>
        <c:overlap val="-27"/>
        <c:axId val="1135923456"/>
        <c:axId val="1135928032"/>
      </c:barChart>
      <c:dateAx>
        <c:axId val="1135923456"/>
        <c:scaling>
          <c:orientation val="minMax"/>
        </c:scaling>
        <c:delete val="1"/>
        <c:axPos val="b"/>
        <c:numFmt formatCode="General" sourceLinked="1"/>
        <c:majorTickMark val="none"/>
        <c:minorTickMark val="none"/>
        <c:tickLblPos val="nextTo"/>
        <c:crossAx val="1135928032"/>
        <c:crosses val="autoZero"/>
        <c:auto val="0"/>
        <c:lblOffset val="100"/>
        <c:baseTimeUnit val="days"/>
      </c:dateAx>
      <c:valAx>
        <c:axId val="11359280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a:t>
                </a:r>
                <a:r>
                  <a:rPr lang="en-US" sz="1100" b="1" baseline="0"/>
                  <a:t> of GDP</a:t>
                </a:r>
                <a:endParaRPr lang="en-US" sz="1100" b="1"/>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592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C527-A875-4801-870C-C788D272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Ting Ee</dc:creator>
  <cp:lastModifiedBy>Goh Shi Qi</cp:lastModifiedBy>
  <cp:revision>23</cp:revision>
  <cp:lastPrinted>2020-09-21T22:47:00Z</cp:lastPrinted>
  <dcterms:created xsi:type="dcterms:W3CDTF">2020-09-22T02:10:00Z</dcterms:created>
  <dcterms:modified xsi:type="dcterms:W3CDTF">2021-09-21T06:44:00Z</dcterms:modified>
</cp:coreProperties>
</file>