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260A" w14:textId="5656F964" w:rsidR="00DC3175" w:rsidRDefault="00831FF1" w:rsidP="00DC3175">
      <w:pPr>
        <w:spacing w:after="0" w:line="240" w:lineRule="auto"/>
        <w:jc w:val="both"/>
        <w:rPr>
          <w:rFonts w:ascii="Arial" w:hAnsi="Arial" w:cs="Arial"/>
          <w:b/>
          <w:sz w:val="26"/>
          <w:szCs w:val="26"/>
        </w:rPr>
      </w:pPr>
      <w:r>
        <w:rPr>
          <w:rFonts w:ascii="Arial" w:hAnsi="Arial" w:cs="Arial"/>
          <w:b/>
          <w:sz w:val="26"/>
          <w:szCs w:val="26"/>
        </w:rPr>
        <w:t xml:space="preserve"> </w:t>
      </w:r>
      <w:r w:rsidR="00DC3175">
        <w:rPr>
          <w:rFonts w:ascii="Arial" w:hAnsi="Arial" w:cs="Arial"/>
          <w:b/>
          <w:sz w:val="26"/>
          <w:szCs w:val="26"/>
        </w:rPr>
        <w:t>J2 H1 Economics CSQ Q</w:t>
      </w:r>
      <w:r w:rsidR="00BE287A">
        <w:rPr>
          <w:rFonts w:ascii="Arial" w:hAnsi="Arial" w:cs="Arial"/>
          <w:b/>
          <w:sz w:val="26"/>
          <w:szCs w:val="26"/>
        </w:rPr>
        <w:t>6</w:t>
      </w:r>
    </w:p>
    <w:p w14:paraId="229C4FF6" w14:textId="61B455D3" w:rsidR="00BE287A" w:rsidRDefault="00BE287A" w:rsidP="00DC3175">
      <w:pPr>
        <w:spacing w:after="0" w:line="240" w:lineRule="auto"/>
        <w:jc w:val="both"/>
        <w:rPr>
          <w:rFonts w:ascii="Arial" w:hAnsi="Arial" w:cs="Arial"/>
          <w:b/>
          <w:sz w:val="26"/>
          <w:szCs w:val="26"/>
        </w:rPr>
      </w:pPr>
    </w:p>
    <w:p w14:paraId="3319CD60" w14:textId="221D0560" w:rsidR="00BE287A" w:rsidRPr="00BE287A" w:rsidRDefault="00BE287A" w:rsidP="00BE287A">
      <w:pPr>
        <w:spacing w:after="0" w:line="240" w:lineRule="auto"/>
        <w:jc w:val="center"/>
        <w:rPr>
          <w:rFonts w:ascii="Arial" w:hAnsi="Arial" w:cs="Arial"/>
          <w:b/>
          <w:sz w:val="24"/>
          <w:szCs w:val="24"/>
        </w:rPr>
      </w:pPr>
      <w:r w:rsidRPr="00BE287A">
        <w:rPr>
          <w:rFonts w:ascii="Arial" w:hAnsi="Arial" w:cs="Arial"/>
          <w:b/>
          <w:sz w:val="24"/>
          <w:szCs w:val="24"/>
        </w:rPr>
        <w:t>Addressing deflation, fostering inclusive growth</w:t>
      </w:r>
    </w:p>
    <w:p w14:paraId="7FE8B14A" w14:textId="77777777" w:rsidR="00BE287A" w:rsidRPr="00BE287A" w:rsidRDefault="00BE287A" w:rsidP="00BE287A">
      <w:pPr>
        <w:spacing w:after="0" w:line="240" w:lineRule="auto"/>
        <w:jc w:val="both"/>
        <w:rPr>
          <w:rFonts w:ascii="Arial" w:hAnsi="Arial" w:cs="Arial"/>
          <w:b/>
          <w:sz w:val="24"/>
          <w:szCs w:val="24"/>
        </w:rPr>
      </w:pPr>
    </w:p>
    <w:p w14:paraId="5E4D681A" w14:textId="46D6FA4E" w:rsidR="00BE287A" w:rsidRPr="00D0560D" w:rsidRDefault="00BE287A" w:rsidP="00BE287A">
      <w:pPr>
        <w:spacing w:after="0" w:line="240" w:lineRule="auto"/>
        <w:jc w:val="center"/>
        <w:rPr>
          <w:rFonts w:ascii="Arial" w:hAnsi="Arial" w:cs="Arial"/>
          <w:b/>
          <w:sz w:val="24"/>
          <w:szCs w:val="24"/>
        </w:rPr>
      </w:pPr>
      <w:r w:rsidRPr="00D0560D">
        <w:rPr>
          <w:rFonts w:ascii="Arial" w:hAnsi="Arial" w:cs="Arial"/>
          <w:b/>
          <w:sz w:val="24"/>
          <w:szCs w:val="24"/>
        </w:rPr>
        <w:t>Table 1: Key economic data for Singapore</w:t>
      </w:r>
    </w:p>
    <w:tbl>
      <w:tblPr>
        <w:tblpPr w:leftFromText="180" w:rightFromText="180" w:vertAnchor="text" w:horzAnchor="margin" w:tblpY="160"/>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0"/>
        <w:gridCol w:w="1420"/>
        <w:gridCol w:w="1420"/>
        <w:gridCol w:w="1421"/>
        <w:gridCol w:w="1420"/>
      </w:tblGrid>
      <w:tr w:rsidR="00BE287A" w14:paraId="6D0F966F" w14:textId="77777777" w:rsidTr="00D0560D">
        <w:trPr>
          <w:trHeight w:val="252"/>
        </w:trPr>
        <w:tc>
          <w:tcPr>
            <w:tcW w:w="3550" w:type="dxa"/>
            <w:shd w:val="clear" w:color="auto" w:fill="E7E6E6" w:themeFill="background2"/>
          </w:tcPr>
          <w:p w14:paraId="656148AC" w14:textId="77777777" w:rsidR="00BE287A" w:rsidRDefault="00BE287A" w:rsidP="00BE287A">
            <w:pPr>
              <w:pStyle w:val="TableParagraph"/>
              <w:spacing w:line="240" w:lineRule="auto"/>
              <w:ind w:left="0" w:right="0"/>
              <w:jc w:val="left"/>
              <w:rPr>
                <w:rFonts w:ascii="Times New Roman"/>
                <w:sz w:val="18"/>
              </w:rPr>
            </w:pPr>
          </w:p>
        </w:tc>
        <w:tc>
          <w:tcPr>
            <w:tcW w:w="1420" w:type="dxa"/>
            <w:shd w:val="clear" w:color="auto" w:fill="E7E6E6" w:themeFill="background2"/>
          </w:tcPr>
          <w:p w14:paraId="602DE7CB" w14:textId="77777777" w:rsidR="00BE287A" w:rsidRDefault="00BE287A" w:rsidP="00BE287A">
            <w:pPr>
              <w:pStyle w:val="TableParagraph"/>
              <w:spacing w:line="233" w:lineRule="exact"/>
              <w:rPr>
                <w:b/>
              </w:rPr>
            </w:pPr>
            <w:r>
              <w:rPr>
                <w:b/>
              </w:rPr>
              <w:t>2013</w:t>
            </w:r>
          </w:p>
        </w:tc>
        <w:tc>
          <w:tcPr>
            <w:tcW w:w="1420" w:type="dxa"/>
            <w:shd w:val="clear" w:color="auto" w:fill="E7E6E6" w:themeFill="background2"/>
          </w:tcPr>
          <w:p w14:paraId="5C223382" w14:textId="77777777" w:rsidR="00BE287A" w:rsidRDefault="00BE287A" w:rsidP="00BE287A">
            <w:pPr>
              <w:pStyle w:val="TableParagraph"/>
              <w:spacing w:line="233" w:lineRule="exact"/>
              <w:ind w:left="0" w:right="455"/>
              <w:jc w:val="right"/>
              <w:rPr>
                <w:b/>
              </w:rPr>
            </w:pPr>
            <w:r>
              <w:rPr>
                <w:b/>
                <w:w w:val="95"/>
              </w:rPr>
              <w:t>2014</w:t>
            </w:r>
          </w:p>
        </w:tc>
        <w:tc>
          <w:tcPr>
            <w:tcW w:w="1421" w:type="dxa"/>
            <w:shd w:val="clear" w:color="auto" w:fill="E7E6E6" w:themeFill="background2"/>
          </w:tcPr>
          <w:p w14:paraId="271ED71F" w14:textId="77777777" w:rsidR="00BE287A" w:rsidRDefault="00BE287A" w:rsidP="00BE287A">
            <w:pPr>
              <w:pStyle w:val="TableParagraph"/>
              <w:spacing w:line="233" w:lineRule="exact"/>
              <w:ind w:right="345"/>
              <w:rPr>
                <w:b/>
              </w:rPr>
            </w:pPr>
            <w:r>
              <w:rPr>
                <w:b/>
              </w:rPr>
              <w:t>2015</w:t>
            </w:r>
          </w:p>
        </w:tc>
        <w:tc>
          <w:tcPr>
            <w:tcW w:w="1420" w:type="dxa"/>
            <w:shd w:val="clear" w:color="auto" w:fill="E7E6E6" w:themeFill="background2"/>
          </w:tcPr>
          <w:p w14:paraId="652F9262" w14:textId="77777777" w:rsidR="00BE287A" w:rsidRDefault="00BE287A" w:rsidP="00BE287A">
            <w:pPr>
              <w:pStyle w:val="TableParagraph"/>
              <w:spacing w:line="233" w:lineRule="exact"/>
              <w:ind w:left="348"/>
              <w:rPr>
                <w:b/>
              </w:rPr>
            </w:pPr>
            <w:r>
              <w:rPr>
                <w:b/>
              </w:rPr>
              <w:t>2016</w:t>
            </w:r>
          </w:p>
        </w:tc>
      </w:tr>
      <w:tr w:rsidR="00BE287A" w14:paraId="685BD311" w14:textId="77777777" w:rsidTr="00BE287A">
        <w:trPr>
          <w:trHeight w:val="321"/>
        </w:trPr>
        <w:tc>
          <w:tcPr>
            <w:tcW w:w="3550" w:type="dxa"/>
          </w:tcPr>
          <w:p w14:paraId="0A0B228E" w14:textId="77777777" w:rsidR="00BE287A" w:rsidRDefault="00BE287A" w:rsidP="00BE287A">
            <w:pPr>
              <w:pStyle w:val="TableParagraph"/>
              <w:ind w:left="107" w:right="0"/>
              <w:jc w:val="left"/>
            </w:pPr>
            <w:r>
              <w:t>GDP per capita (current US$)</w:t>
            </w:r>
          </w:p>
        </w:tc>
        <w:tc>
          <w:tcPr>
            <w:tcW w:w="1420" w:type="dxa"/>
          </w:tcPr>
          <w:p w14:paraId="6839495F" w14:textId="77777777" w:rsidR="00BE287A" w:rsidRDefault="00BE287A" w:rsidP="00BE287A">
            <w:pPr>
              <w:pStyle w:val="TableParagraph"/>
              <w:ind w:right="342"/>
            </w:pPr>
            <w:r>
              <w:t>56,389</w:t>
            </w:r>
          </w:p>
        </w:tc>
        <w:tc>
          <w:tcPr>
            <w:tcW w:w="1420" w:type="dxa"/>
          </w:tcPr>
          <w:p w14:paraId="78C0ACA8" w14:textId="77777777" w:rsidR="00BE287A" w:rsidRDefault="00BE287A" w:rsidP="00BE287A">
            <w:pPr>
              <w:pStyle w:val="TableParagraph"/>
              <w:ind w:left="0" w:right="362"/>
              <w:jc w:val="right"/>
            </w:pPr>
            <w:r>
              <w:rPr>
                <w:w w:val="95"/>
              </w:rPr>
              <w:t>56,958</w:t>
            </w:r>
          </w:p>
        </w:tc>
        <w:tc>
          <w:tcPr>
            <w:tcW w:w="1421" w:type="dxa"/>
          </w:tcPr>
          <w:p w14:paraId="12AC9F7F" w14:textId="77777777" w:rsidR="00BE287A" w:rsidRDefault="00BE287A" w:rsidP="00BE287A">
            <w:pPr>
              <w:pStyle w:val="TableParagraph"/>
              <w:ind w:left="353" w:right="345"/>
            </w:pPr>
            <w:r>
              <w:t>54,941</w:t>
            </w:r>
          </w:p>
        </w:tc>
        <w:tc>
          <w:tcPr>
            <w:tcW w:w="1420" w:type="dxa"/>
          </w:tcPr>
          <w:p w14:paraId="036F855C" w14:textId="77777777" w:rsidR="00BE287A" w:rsidRDefault="00BE287A" w:rsidP="00BE287A">
            <w:pPr>
              <w:pStyle w:val="TableParagraph"/>
              <w:ind w:left="350"/>
            </w:pPr>
            <w:r>
              <w:t>55,243</w:t>
            </w:r>
          </w:p>
        </w:tc>
      </w:tr>
      <w:tr w:rsidR="00BE287A" w14:paraId="612ACE5D" w14:textId="77777777" w:rsidTr="00BE287A">
        <w:trPr>
          <w:trHeight w:val="504"/>
        </w:trPr>
        <w:tc>
          <w:tcPr>
            <w:tcW w:w="3550" w:type="dxa"/>
          </w:tcPr>
          <w:p w14:paraId="25BD194E" w14:textId="77777777" w:rsidR="00BE287A" w:rsidRDefault="00BE287A" w:rsidP="00BE287A">
            <w:pPr>
              <w:pStyle w:val="TableParagraph"/>
              <w:spacing w:before="3"/>
              <w:ind w:left="107" w:right="97"/>
              <w:jc w:val="left"/>
            </w:pPr>
            <w:r>
              <w:t>Economic growth rate (% change in real GDP)</w:t>
            </w:r>
          </w:p>
        </w:tc>
        <w:tc>
          <w:tcPr>
            <w:tcW w:w="1420" w:type="dxa"/>
          </w:tcPr>
          <w:p w14:paraId="62808EEA" w14:textId="77777777" w:rsidR="00BE287A" w:rsidRDefault="00BE287A" w:rsidP="00BE287A">
            <w:pPr>
              <w:pStyle w:val="TableParagraph"/>
              <w:ind w:right="343"/>
            </w:pPr>
            <w:r>
              <w:t>5.1</w:t>
            </w:r>
          </w:p>
        </w:tc>
        <w:tc>
          <w:tcPr>
            <w:tcW w:w="1420" w:type="dxa"/>
          </w:tcPr>
          <w:p w14:paraId="78F78F14" w14:textId="77777777" w:rsidR="00BE287A" w:rsidRDefault="00BE287A" w:rsidP="00BE287A">
            <w:pPr>
              <w:pStyle w:val="TableParagraph"/>
            </w:pPr>
            <w:r>
              <w:t>3.9</w:t>
            </w:r>
          </w:p>
        </w:tc>
        <w:tc>
          <w:tcPr>
            <w:tcW w:w="1421" w:type="dxa"/>
          </w:tcPr>
          <w:p w14:paraId="4C38FDEE" w14:textId="77777777" w:rsidR="00BE287A" w:rsidRDefault="00BE287A" w:rsidP="00BE287A">
            <w:pPr>
              <w:pStyle w:val="TableParagraph"/>
              <w:ind w:left="352" w:right="345"/>
            </w:pPr>
            <w:r>
              <w:t>2.2</w:t>
            </w:r>
          </w:p>
        </w:tc>
        <w:tc>
          <w:tcPr>
            <w:tcW w:w="1420" w:type="dxa"/>
          </w:tcPr>
          <w:p w14:paraId="4172837B" w14:textId="77777777" w:rsidR="00BE287A" w:rsidRDefault="00BE287A" w:rsidP="00BE287A">
            <w:pPr>
              <w:pStyle w:val="TableParagraph"/>
              <w:ind w:left="349"/>
            </w:pPr>
            <w:r>
              <w:t>2.4</w:t>
            </w:r>
          </w:p>
        </w:tc>
      </w:tr>
      <w:tr w:rsidR="00BE287A" w14:paraId="4DADD8F6" w14:textId="77777777" w:rsidTr="00BE287A">
        <w:trPr>
          <w:trHeight w:val="504"/>
        </w:trPr>
        <w:tc>
          <w:tcPr>
            <w:tcW w:w="3550" w:type="dxa"/>
          </w:tcPr>
          <w:p w14:paraId="423BA6F8" w14:textId="77777777" w:rsidR="00BE287A" w:rsidRDefault="00BE287A" w:rsidP="00BE287A">
            <w:pPr>
              <w:pStyle w:val="TableParagraph"/>
              <w:spacing w:before="2"/>
              <w:ind w:left="107" w:right="97"/>
              <w:jc w:val="left"/>
            </w:pPr>
            <w:r>
              <w:t>Inflation rate (CPI, annual change in %)</w:t>
            </w:r>
          </w:p>
        </w:tc>
        <w:tc>
          <w:tcPr>
            <w:tcW w:w="1420" w:type="dxa"/>
          </w:tcPr>
          <w:p w14:paraId="05814220" w14:textId="77777777" w:rsidR="00BE287A" w:rsidRDefault="00BE287A" w:rsidP="00BE287A">
            <w:pPr>
              <w:pStyle w:val="TableParagraph"/>
              <w:spacing w:line="251" w:lineRule="exact"/>
              <w:ind w:right="343"/>
            </w:pPr>
            <w:r>
              <w:t>2.4</w:t>
            </w:r>
          </w:p>
        </w:tc>
        <w:tc>
          <w:tcPr>
            <w:tcW w:w="1420" w:type="dxa"/>
          </w:tcPr>
          <w:p w14:paraId="4AD28AC9" w14:textId="77777777" w:rsidR="00BE287A" w:rsidRDefault="00BE287A" w:rsidP="00BE287A">
            <w:pPr>
              <w:pStyle w:val="TableParagraph"/>
              <w:spacing w:line="251" w:lineRule="exact"/>
            </w:pPr>
            <w:r>
              <w:t>1.0</w:t>
            </w:r>
          </w:p>
        </w:tc>
        <w:tc>
          <w:tcPr>
            <w:tcW w:w="1421" w:type="dxa"/>
          </w:tcPr>
          <w:p w14:paraId="0A230D9A" w14:textId="77777777" w:rsidR="00BE287A" w:rsidRDefault="00BE287A" w:rsidP="00BE287A">
            <w:pPr>
              <w:pStyle w:val="TableParagraph"/>
              <w:spacing w:line="251" w:lineRule="exact"/>
              <w:ind w:right="345"/>
            </w:pPr>
            <w:r>
              <w:t>-0.5</w:t>
            </w:r>
          </w:p>
        </w:tc>
        <w:tc>
          <w:tcPr>
            <w:tcW w:w="1420" w:type="dxa"/>
          </w:tcPr>
          <w:p w14:paraId="7DCD727B" w14:textId="77777777" w:rsidR="00BE287A" w:rsidRDefault="00BE287A" w:rsidP="00BE287A">
            <w:pPr>
              <w:pStyle w:val="TableParagraph"/>
              <w:spacing w:line="251" w:lineRule="exact"/>
              <w:ind w:left="349"/>
            </w:pPr>
            <w:r>
              <w:t>-0.5</w:t>
            </w:r>
          </w:p>
        </w:tc>
      </w:tr>
      <w:tr w:rsidR="00BE287A" w14:paraId="0F096692" w14:textId="77777777" w:rsidTr="00BE287A">
        <w:trPr>
          <w:trHeight w:val="503"/>
        </w:trPr>
        <w:tc>
          <w:tcPr>
            <w:tcW w:w="3550" w:type="dxa"/>
          </w:tcPr>
          <w:p w14:paraId="21692E02" w14:textId="77777777" w:rsidR="00BE287A" w:rsidRDefault="00BE287A" w:rsidP="00BE287A">
            <w:pPr>
              <w:pStyle w:val="TableParagraph"/>
              <w:tabs>
                <w:tab w:val="left" w:pos="1541"/>
                <w:tab w:val="left" w:pos="2498"/>
                <w:tab w:val="left" w:pos="3173"/>
              </w:tabs>
              <w:spacing w:before="2"/>
              <w:ind w:left="107" w:right="97"/>
              <w:jc w:val="left"/>
            </w:pPr>
            <w:r>
              <w:t>Productivity</w:t>
            </w:r>
            <w:r>
              <w:tab/>
              <w:t>growth</w:t>
            </w:r>
            <w:r>
              <w:tab/>
              <w:t>rate</w:t>
            </w:r>
            <w:r>
              <w:tab/>
            </w:r>
            <w:r>
              <w:rPr>
                <w:w w:val="95"/>
              </w:rPr>
              <w:t xml:space="preserve">(% </w:t>
            </w:r>
            <w:r>
              <w:t>change)</w:t>
            </w:r>
          </w:p>
        </w:tc>
        <w:tc>
          <w:tcPr>
            <w:tcW w:w="1420" w:type="dxa"/>
          </w:tcPr>
          <w:p w14:paraId="5B16D7FE" w14:textId="77777777" w:rsidR="00BE287A" w:rsidRDefault="00BE287A" w:rsidP="00BE287A">
            <w:pPr>
              <w:pStyle w:val="TableParagraph"/>
              <w:spacing w:line="251" w:lineRule="exact"/>
              <w:ind w:left="6" w:right="0"/>
            </w:pPr>
            <w:r>
              <w:rPr>
                <w:w w:val="99"/>
              </w:rPr>
              <w:t>0</w:t>
            </w:r>
          </w:p>
        </w:tc>
        <w:tc>
          <w:tcPr>
            <w:tcW w:w="1420" w:type="dxa"/>
          </w:tcPr>
          <w:p w14:paraId="1669203D" w14:textId="77777777" w:rsidR="00BE287A" w:rsidRDefault="00BE287A" w:rsidP="00BE287A">
            <w:pPr>
              <w:pStyle w:val="TableParagraph"/>
              <w:spacing w:line="251" w:lineRule="exact"/>
              <w:ind w:left="350"/>
            </w:pPr>
            <w:r>
              <w:t>-0.9</w:t>
            </w:r>
          </w:p>
        </w:tc>
        <w:tc>
          <w:tcPr>
            <w:tcW w:w="1421" w:type="dxa"/>
          </w:tcPr>
          <w:p w14:paraId="5A068C64" w14:textId="77777777" w:rsidR="00BE287A" w:rsidRDefault="00BE287A" w:rsidP="00BE287A">
            <w:pPr>
              <w:pStyle w:val="TableParagraph"/>
              <w:spacing w:line="251" w:lineRule="exact"/>
              <w:ind w:right="345"/>
            </w:pPr>
            <w:r>
              <w:t>-1.5</w:t>
            </w:r>
          </w:p>
        </w:tc>
        <w:tc>
          <w:tcPr>
            <w:tcW w:w="1420" w:type="dxa"/>
          </w:tcPr>
          <w:p w14:paraId="4844B610" w14:textId="77777777" w:rsidR="00BE287A" w:rsidRDefault="00BE287A" w:rsidP="00BE287A">
            <w:pPr>
              <w:pStyle w:val="TableParagraph"/>
              <w:spacing w:line="251" w:lineRule="exact"/>
              <w:ind w:left="349"/>
            </w:pPr>
            <w:r>
              <w:t>-0.5</w:t>
            </w:r>
          </w:p>
        </w:tc>
      </w:tr>
      <w:tr w:rsidR="00BE287A" w14:paraId="208679C6" w14:textId="77777777" w:rsidTr="00BE287A">
        <w:trPr>
          <w:trHeight w:val="272"/>
        </w:trPr>
        <w:tc>
          <w:tcPr>
            <w:tcW w:w="3550" w:type="dxa"/>
          </w:tcPr>
          <w:p w14:paraId="76B0B1F2" w14:textId="77777777" w:rsidR="00BE287A" w:rsidRDefault="00BE287A" w:rsidP="00BE287A">
            <w:pPr>
              <w:pStyle w:val="TableParagraph"/>
              <w:spacing w:line="251" w:lineRule="exact"/>
              <w:ind w:left="107" w:right="0"/>
              <w:jc w:val="left"/>
            </w:pPr>
            <w:r>
              <w:t>Budget balance (% of GDP)</w:t>
            </w:r>
          </w:p>
        </w:tc>
        <w:tc>
          <w:tcPr>
            <w:tcW w:w="1420" w:type="dxa"/>
          </w:tcPr>
          <w:p w14:paraId="73A798FB" w14:textId="77777777" w:rsidR="00BE287A" w:rsidRDefault="00BE287A" w:rsidP="00BE287A">
            <w:pPr>
              <w:pStyle w:val="TableParagraph"/>
              <w:spacing w:line="251" w:lineRule="exact"/>
            </w:pPr>
            <w:r>
              <w:t>1.3</w:t>
            </w:r>
          </w:p>
        </w:tc>
        <w:tc>
          <w:tcPr>
            <w:tcW w:w="1420" w:type="dxa"/>
          </w:tcPr>
          <w:p w14:paraId="7FA4CFFD" w14:textId="77777777" w:rsidR="00BE287A" w:rsidRDefault="00BE287A" w:rsidP="00BE287A">
            <w:pPr>
              <w:pStyle w:val="TableParagraph"/>
              <w:spacing w:line="251" w:lineRule="exact"/>
              <w:ind w:left="350"/>
            </w:pPr>
            <w:r>
              <w:t>0.1</w:t>
            </w:r>
          </w:p>
        </w:tc>
        <w:tc>
          <w:tcPr>
            <w:tcW w:w="1421" w:type="dxa"/>
          </w:tcPr>
          <w:p w14:paraId="70CC1205" w14:textId="77777777" w:rsidR="00BE287A" w:rsidRDefault="00BE287A" w:rsidP="00BE287A">
            <w:pPr>
              <w:pStyle w:val="TableParagraph"/>
              <w:spacing w:line="251" w:lineRule="exact"/>
              <w:ind w:left="350" w:right="345"/>
            </w:pPr>
            <w:r>
              <w:t>-1.2</w:t>
            </w:r>
          </w:p>
        </w:tc>
        <w:tc>
          <w:tcPr>
            <w:tcW w:w="1420" w:type="dxa"/>
          </w:tcPr>
          <w:p w14:paraId="5FDC466C" w14:textId="77777777" w:rsidR="00BE287A" w:rsidRDefault="00BE287A" w:rsidP="00BE287A">
            <w:pPr>
              <w:pStyle w:val="TableParagraph"/>
              <w:spacing w:line="251" w:lineRule="exact"/>
              <w:ind w:left="348"/>
            </w:pPr>
            <w:r>
              <w:t>-1.2</w:t>
            </w:r>
          </w:p>
        </w:tc>
      </w:tr>
      <w:tr w:rsidR="00BE287A" w14:paraId="697E1EA9" w14:textId="77777777" w:rsidTr="00BE287A">
        <w:trPr>
          <w:trHeight w:val="473"/>
        </w:trPr>
        <w:tc>
          <w:tcPr>
            <w:tcW w:w="3550" w:type="dxa"/>
          </w:tcPr>
          <w:p w14:paraId="61FA60EB" w14:textId="77777777" w:rsidR="00BE287A" w:rsidRDefault="00BE287A" w:rsidP="00BE287A">
            <w:pPr>
              <w:pStyle w:val="TableParagraph"/>
              <w:ind w:left="107" w:right="0"/>
              <w:jc w:val="left"/>
            </w:pPr>
            <w:r>
              <w:t>Life expectancy at birth (years)</w:t>
            </w:r>
          </w:p>
        </w:tc>
        <w:tc>
          <w:tcPr>
            <w:tcW w:w="1420" w:type="dxa"/>
          </w:tcPr>
          <w:p w14:paraId="5D64F5DB" w14:textId="77777777" w:rsidR="00BE287A" w:rsidRDefault="00BE287A" w:rsidP="00BE287A">
            <w:pPr>
              <w:pStyle w:val="TableParagraph"/>
              <w:ind w:right="343"/>
            </w:pPr>
            <w:r>
              <w:t>82.4</w:t>
            </w:r>
          </w:p>
        </w:tc>
        <w:tc>
          <w:tcPr>
            <w:tcW w:w="1420" w:type="dxa"/>
          </w:tcPr>
          <w:p w14:paraId="0538AE46" w14:textId="77777777" w:rsidR="00BE287A" w:rsidRDefault="00BE287A" w:rsidP="00BE287A">
            <w:pPr>
              <w:pStyle w:val="TableParagraph"/>
            </w:pPr>
            <w:r>
              <w:t>82.6</w:t>
            </w:r>
          </w:p>
        </w:tc>
        <w:tc>
          <w:tcPr>
            <w:tcW w:w="1421" w:type="dxa"/>
          </w:tcPr>
          <w:p w14:paraId="6A82737E" w14:textId="77777777" w:rsidR="00BE287A" w:rsidRDefault="00BE287A" w:rsidP="00BE287A">
            <w:pPr>
              <w:pStyle w:val="TableParagraph"/>
              <w:ind w:left="352" w:right="345"/>
            </w:pPr>
            <w:r>
              <w:t>82.9</w:t>
            </w:r>
          </w:p>
        </w:tc>
        <w:tc>
          <w:tcPr>
            <w:tcW w:w="1420" w:type="dxa"/>
          </w:tcPr>
          <w:p w14:paraId="29958E3A" w14:textId="77777777" w:rsidR="00BE287A" w:rsidRDefault="00BE287A" w:rsidP="00BE287A">
            <w:pPr>
              <w:pStyle w:val="TableParagraph"/>
              <w:ind w:left="348"/>
            </w:pPr>
            <w:r>
              <w:t>83</w:t>
            </w:r>
          </w:p>
        </w:tc>
      </w:tr>
      <w:tr w:rsidR="00BE287A" w14:paraId="290CDE26" w14:textId="77777777" w:rsidTr="00BE287A">
        <w:trPr>
          <w:trHeight w:val="505"/>
        </w:trPr>
        <w:tc>
          <w:tcPr>
            <w:tcW w:w="3550" w:type="dxa"/>
          </w:tcPr>
          <w:p w14:paraId="266B2033" w14:textId="77777777" w:rsidR="00BE287A" w:rsidRDefault="00BE287A" w:rsidP="00BE287A">
            <w:pPr>
              <w:pStyle w:val="TableParagraph"/>
              <w:spacing w:before="1" w:line="254" w:lineRule="exact"/>
              <w:ind w:left="107" w:right="0"/>
              <w:jc w:val="left"/>
            </w:pPr>
            <w:r>
              <w:t>Value of SGD (average rate per US$)</w:t>
            </w:r>
          </w:p>
        </w:tc>
        <w:tc>
          <w:tcPr>
            <w:tcW w:w="1420" w:type="dxa"/>
          </w:tcPr>
          <w:p w14:paraId="76BF0018" w14:textId="77777777" w:rsidR="00BE287A" w:rsidRDefault="00BE287A" w:rsidP="00BE287A">
            <w:pPr>
              <w:pStyle w:val="TableParagraph"/>
              <w:ind w:right="343"/>
            </w:pPr>
            <w:r>
              <w:t>1.251</w:t>
            </w:r>
          </w:p>
        </w:tc>
        <w:tc>
          <w:tcPr>
            <w:tcW w:w="1420" w:type="dxa"/>
          </w:tcPr>
          <w:p w14:paraId="18738212" w14:textId="77777777" w:rsidR="00BE287A" w:rsidRDefault="00BE287A" w:rsidP="00BE287A">
            <w:pPr>
              <w:pStyle w:val="TableParagraph"/>
              <w:ind w:left="0" w:right="423"/>
              <w:jc w:val="right"/>
            </w:pPr>
            <w:r>
              <w:rPr>
                <w:w w:val="95"/>
              </w:rPr>
              <w:t>1.267</w:t>
            </w:r>
          </w:p>
        </w:tc>
        <w:tc>
          <w:tcPr>
            <w:tcW w:w="1421" w:type="dxa"/>
          </w:tcPr>
          <w:p w14:paraId="2251AF01" w14:textId="77777777" w:rsidR="00BE287A" w:rsidRDefault="00BE287A" w:rsidP="00BE287A">
            <w:pPr>
              <w:pStyle w:val="TableParagraph"/>
              <w:ind w:left="353" w:right="345"/>
            </w:pPr>
            <w:r>
              <w:t>1.375</w:t>
            </w:r>
          </w:p>
        </w:tc>
        <w:tc>
          <w:tcPr>
            <w:tcW w:w="1420" w:type="dxa"/>
          </w:tcPr>
          <w:p w14:paraId="32B37143" w14:textId="77777777" w:rsidR="00BE287A" w:rsidRDefault="00BE287A" w:rsidP="00BE287A">
            <w:pPr>
              <w:pStyle w:val="TableParagraph"/>
              <w:ind w:left="350"/>
            </w:pPr>
            <w:r>
              <w:t>1.382</w:t>
            </w:r>
          </w:p>
        </w:tc>
      </w:tr>
      <w:tr w:rsidR="00BE287A" w14:paraId="150D40DD" w14:textId="77777777" w:rsidTr="00BE287A">
        <w:trPr>
          <w:trHeight w:val="502"/>
        </w:trPr>
        <w:tc>
          <w:tcPr>
            <w:tcW w:w="3550" w:type="dxa"/>
          </w:tcPr>
          <w:p w14:paraId="6DB3243B" w14:textId="77777777" w:rsidR="00BE287A" w:rsidRPr="0047237A" w:rsidRDefault="00BE287A" w:rsidP="00BE287A">
            <w:pPr>
              <w:pStyle w:val="TableParagraph"/>
              <w:spacing w:line="249" w:lineRule="exact"/>
              <w:ind w:left="107" w:right="0"/>
              <w:jc w:val="left"/>
              <w:rPr>
                <w:highlight w:val="yellow"/>
              </w:rPr>
            </w:pPr>
            <w:r w:rsidRPr="0047237A">
              <w:rPr>
                <w:highlight w:val="yellow"/>
              </w:rPr>
              <w:t>Gini coefficient before accounting</w:t>
            </w:r>
          </w:p>
          <w:p w14:paraId="0C81CFC4" w14:textId="77777777" w:rsidR="00BE287A" w:rsidRPr="0047237A" w:rsidRDefault="00BE287A" w:rsidP="00BE287A">
            <w:pPr>
              <w:pStyle w:val="TableParagraph"/>
              <w:spacing w:line="234" w:lineRule="exact"/>
              <w:ind w:left="107" w:right="0"/>
              <w:jc w:val="left"/>
              <w:rPr>
                <w:highlight w:val="yellow"/>
              </w:rPr>
            </w:pPr>
            <w:r w:rsidRPr="0047237A">
              <w:rPr>
                <w:highlight w:val="yellow"/>
              </w:rPr>
              <w:t>for government transfers &amp; taxes</w:t>
            </w:r>
          </w:p>
        </w:tc>
        <w:tc>
          <w:tcPr>
            <w:tcW w:w="1420" w:type="dxa"/>
          </w:tcPr>
          <w:p w14:paraId="6B0C4E12" w14:textId="77777777" w:rsidR="00BE287A" w:rsidRDefault="00BE287A" w:rsidP="00BE287A">
            <w:pPr>
              <w:pStyle w:val="TableParagraph"/>
              <w:spacing w:line="249" w:lineRule="exact"/>
              <w:ind w:right="343"/>
            </w:pPr>
            <w:r>
              <w:t>0.463</w:t>
            </w:r>
          </w:p>
        </w:tc>
        <w:tc>
          <w:tcPr>
            <w:tcW w:w="1420" w:type="dxa"/>
          </w:tcPr>
          <w:p w14:paraId="521BE766" w14:textId="77777777" w:rsidR="00BE287A" w:rsidRDefault="00BE287A" w:rsidP="00BE287A">
            <w:pPr>
              <w:pStyle w:val="TableParagraph"/>
              <w:spacing w:line="249" w:lineRule="exact"/>
              <w:ind w:left="0" w:right="423"/>
              <w:jc w:val="right"/>
            </w:pPr>
            <w:r>
              <w:rPr>
                <w:w w:val="95"/>
              </w:rPr>
              <w:t>0.464</w:t>
            </w:r>
          </w:p>
        </w:tc>
        <w:tc>
          <w:tcPr>
            <w:tcW w:w="1421" w:type="dxa"/>
          </w:tcPr>
          <w:p w14:paraId="13890C66" w14:textId="77777777" w:rsidR="00BE287A" w:rsidRDefault="00BE287A" w:rsidP="00BE287A">
            <w:pPr>
              <w:pStyle w:val="TableParagraph"/>
              <w:spacing w:line="249" w:lineRule="exact"/>
              <w:ind w:left="353" w:right="345"/>
            </w:pPr>
            <w:r>
              <w:t>0.463</w:t>
            </w:r>
          </w:p>
        </w:tc>
        <w:tc>
          <w:tcPr>
            <w:tcW w:w="1420" w:type="dxa"/>
          </w:tcPr>
          <w:p w14:paraId="0BAD5E74" w14:textId="77777777" w:rsidR="00BE287A" w:rsidRDefault="00BE287A" w:rsidP="00BE287A">
            <w:pPr>
              <w:pStyle w:val="TableParagraph"/>
              <w:spacing w:line="249" w:lineRule="exact"/>
              <w:ind w:left="350"/>
            </w:pPr>
            <w:r>
              <w:t>0.458</w:t>
            </w:r>
          </w:p>
        </w:tc>
      </w:tr>
      <w:tr w:rsidR="00BE287A" w14:paraId="0350C57E" w14:textId="77777777" w:rsidTr="00BE287A">
        <w:trPr>
          <w:trHeight w:val="506"/>
        </w:trPr>
        <w:tc>
          <w:tcPr>
            <w:tcW w:w="3550" w:type="dxa"/>
          </w:tcPr>
          <w:p w14:paraId="387E2505" w14:textId="77777777" w:rsidR="00BE287A" w:rsidRPr="0047237A" w:rsidRDefault="00BE287A" w:rsidP="00BE287A">
            <w:pPr>
              <w:pStyle w:val="TableParagraph"/>
              <w:spacing w:before="3"/>
              <w:ind w:left="107" w:right="106"/>
              <w:jc w:val="left"/>
              <w:rPr>
                <w:highlight w:val="yellow"/>
              </w:rPr>
            </w:pPr>
            <w:commentRangeStart w:id="0"/>
            <w:r w:rsidRPr="0047237A">
              <w:rPr>
                <w:highlight w:val="yellow"/>
              </w:rPr>
              <w:t>Gini coefficient after accounting for government transfers &amp;</w:t>
            </w:r>
            <w:r w:rsidRPr="0047237A">
              <w:rPr>
                <w:spacing w:val="-4"/>
                <w:highlight w:val="yellow"/>
              </w:rPr>
              <w:t xml:space="preserve"> </w:t>
            </w:r>
            <w:r w:rsidRPr="0047237A">
              <w:rPr>
                <w:highlight w:val="yellow"/>
              </w:rPr>
              <w:t>taxes</w:t>
            </w:r>
            <w:commentRangeEnd w:id="0"/>
            <w:r w:rsidR="0047237A">
              <w:rPr>
                <w:rStyle w:val="CommentReference"/>
                <w:rFonts w:asciiTheme="minorHAnsi" w:eastAsiaTheme="minorEastAsia" w:hAnsiTheme="minorHAnsi" w:cstheme="minorBidi"/>
                <w:lang w:val="en-SG" w:eastAsia="zh-CN"/>
              </w:rPr>
              <w:commentReference w:id="0"/>
            </w:r>
          </w:p>
        </w:tc>
        <w:tc>
          <w:tcPr>
            <w:tcW w:w="1420" w:type="dxa"/>
          </w:tcPr>
          <w:p w14:paraId="5A5EF646" w14:textId="77777777" w:rsidR="00BE287A" w:rsidRDefault="00BE287A" w:rsidP="00BE287A">
            <w:pPr>
              <w:pStyle w:val="TableParagraph"/>
              <w:ind w:right="343"/>
            </w:pPr>
            <w:r>
              <w:t>0.409</w:t>
            </w:r>
          </w:p>
        </w:tc>
        <w:tc>
          <w:tcPr>
            <w:tcW w:w="1420" w:type="dxa"/>
          </w:tcPr>
          <w:p w14:paraId="081AC3E2" w14:textId="77777777" w:rsidR="00BE287A" w:rsidRDefault="00BE287A" w:rsidP="00BE287A">
            <w:pPr>
              <w:pStyle w:val="TableParagraph"/>
              <w:ind w:left="0" w:right="423"/>
              <w:jc w:val="right"/>
            </w:pPr>
            <w:r>
              <w:rPr>
                <w:w w:val="95"/>
              </w:rPr>
              <w:t>0.411</w:t>
            </w:r>
          </w:p>
        </w:tc>
        <w:tc>
          <w:tcPr>
            <w:tcW w:w="1421" w:type="dxa"/>
          </w:tcPr>
          <w:p w14:paraId="05D97086" w14:textId="77777777" w:rsidR="00BE287A" w:rsidRDefault="00BE287A" w:rsidP="00BE287A">
            <w:pPr>
              <w:pStyle w:val="TableParagraph"/>
              <w:ind w:left="353" w:right="345"/>
            </w:pPr>
            <w:r>
              <w:t>0.409</w:t>
            </w:r>
          </w:p>
        </w:tc>
        <w:tc>
          <w:tcPr>
            <w:tcW w:w="1420" w:type="dxa"/>
          </w:tcPr>
          <w:p w14:paraId="01BE79BC" w14:textId="77777777" w:rsidR="00BE287A" w:rsidRDefault="00BE287A" w:rsidP="00BE287A">
            <w:pPr>
              <w:pStyle w:val="TableParagraph"/>
              <w:ind w:left="350"/>
            </w:pPr>
            <w:r>
              <w:t>0.401</w:t>
            </w:r>
          </w:p>
        </w:tc>
      </w:tr>
    </w:tbl>
    <w:p w14:paraId="404D6F0F" w14:textId="397AFC97" w:rsidR="00BE287A" w:rsidRDefault="00BE287A" w:rsidP="00BE287A">
      <w:pPr>
        <w:spacing w:after="0" w:line="240" w:lineRule="auto"/>
        <w:jc w:val="both"/>
        <w:rPr>
          <w:rFonts w:ascii="Arial" w:hAnsi="Arial" w:cs="Arial"/>
          <w:sz w:val="24"/>
          <w:szCs w:val="24"/>
        </w:rPr>
      </w:pPr>
    </w:p>
    <w:p w14:paraId="3B63BAE0" w14:textId="77777777"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Singstat.gov.sg, accessed 17 Aug 2018</w:t>
      </w:r>
    </w:p>
    <w:p w14:paraId="7C04FE42" w14:textId="77777777" w:rsidR="00D0560D" w:rsidRPr="00D0560D" w:rsidRDefault="00D0560D" w:rsidP="00D0560D">
      <w:pPr>
        <w:spacing w:after="0" w:line="240" w:lineRule="auto"/>
        <w:jc w:val="both"/>
        <w:rPr>
          <w:rFonts w:ascii="Arial" w:hAnsi="Arial" w:cs="Arial"/>
          <w:sz w:val="24"/>
          <w:szCs w:val="24"/>
        </w:rPr>
      </w:pPr>
    </w:p>
    <w:p w14:paraId="669B36D7" w14:textId="77777777"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Extract 6: Guarding against deflation in Singapore</w:t>
      </w:r>
    </w:p>
    <w:p w14:paraId="6B93C286" w14:textId="77777777" w:rsidR="00D0560D" w:rsidRPr="00D0560D" w:rsidRDefault="00D0560D" w:rsidP="00D0560D">
      <w:pPr>
        <w:spacing w:after="0" w:line="240" w:lineRule="auto"/>
        <w:jc w:val="both"/>
        <w:rPr>
          <w:rFonts w:ascii="Arial" w:hAnsi="Arial" w:cs="Arial"/>
          <w:b/>
          <w:sz w:val="24"/>
          <w:szCs w:val="24"/>
        </w:rPr>
      </w:pPr>
    </w:p>
    <w:p w14:paraId="1E9A8884" w14:textId="4C53D61F"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The Monetary Authority of Singapore (MAS) should be ready to adjust its monetary policy further if deflation takes root in the city state, the International Monetary Fund (IMF) said. Consumer prices in Singapore have declined every month since November 2014, the longest slump on record.</w:t>
      </w:r>
    </w:p>
    <w:p w14:paraId="474A34B5" w14:textId="77777777" w:rsidR="00D0560D" w:rsidRPr="00D0560D" w:rsidRDefault="00D0560D" w:rsidP="00D0560D">
      <w:pPr>
        <w:spacing w:after="0" w:line="240" w:lineRule="auto"/>
        <w:jc w:val="both"/>
        <w:rPr>
          <w:rFonts w:ascii="Arial" w:hAnsi="Arial" w:cs="Arial"/>
          <w:sz w:val="24"/>
          <w:szCs w:val="24"/>
        </w:rPr>
      </w:pPr>
    </w:p>
    <w:p w14:paraId="2973F0EB" w14:textId="77D26488"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Deflation has become a grave concern for economies around the world. While deflation points </w:t>
      </w:r>
      <w:commentRangeStart w:id="1"/>
      <w:r w:rsidRPr="00D0560D">
        <w:rPr>
          <w:rFonts w:ascii="Arial" w:hAnsi="Arial" w:cs="Arial"/>
          <w:sz w:val="24"/>
          <w:szCs w:val="24"/>
        </w:rPr>
        <w:t xml:space="preserve">to </w:t>
      </w:r>
      <w:r w:rsidRPr="0047237A">
        <w:rPr>
          <w:rFonts w:ascii="Arial" w:hAnsi="Arial" w:cs="Arial"/>
          <w:sz w:val="24"/>
          <w:szCs w:val="24"/>
          <w:highlight w:val="yellow"/>
        </w:rPr>
        <w:t>deeper structural issues for economies like Japan and Europe</w:t>
      </w:r>
      <w:commentRangeEnd w:id="1"/>
      <w:r w:rsidR="0047237A">
        <w:rPr>
          <w:rStyle w:val="CommentReference"/>
        </w:rPr>
        <w:commentReference w:id="1"/>
      </w:r>
      <w:r w:rsidRPr="00D0560D">
        <w:rPr>
          <w:rFonts w:ascii="Arial" w:hAnsi="Arial" w:cs="Arial"/>
          <w:sz w:val="24"/>
          <w:szCs w:val="24"/>
        </w:rPr>
        <w:t xml:space="preserve">, economists say that Singapore has less to worry about as its economy is not suffering from a chronic lack of demand. Singapore's deflationary reading last month </w:t>
      </w:r>
      <w:commentRangeStart w:id="2"/>
      <w:r w:rsidRPr="0047237A">
        <w:rPr>
          <w:rFonts w:ascii="Arial" w:hAnsi="Arial" w:cs="Arial"/>
          <w:sz w:val="24"/>
          <w:szCs w:val="24"/>
          <w:highlight w:val="yellow"/>
        </w:rPr>
        <w:t>was driven by fluctuating COE prices and falling accommodation costs, in addition to lower oil prices.</w:t>
      </w:r>
      <w:commentRangeEnd w:id="2"/>
      <w:r w:rsidR="0047237A">
        <w:rPr>
          <w:rStyle w:val="CommentReference"/>
        </w:rPr>
        <w:commentReference w:id="2"/>
      </w:r>
      <w:r w:rsidRPr="00D0560D">
        <w:rPr>
          <w:rFonts w:ascii="Arial" w:hAnsi="Arial" w:cs="Arial"/>
          <w:sz w:val="24"/>
          <w:szCs w:val="24"/>
        </w:rPr>
        <w:t xml:space="preserve"> However, </w:t>
      </w:r>
      <w:r w:rsidRPr="0047237A">
        <w:rPr>
          <w:rFonts w:ascii="Arial" w:hAnsi="Arial" w:cs="Arial"/>
          <w:sz w:val="24"/>
          <w:szCs w:val="24"/>
        </w:rPr>
        <w:t>the prices of household durables, education, and recreation had been holding up.</w:t>
      </w:r>
    </w:p>
    <w:p w14:paraId="7D17064E" w14:textId="77777777" w:rsidR="00D0560D" w:rsidRPr="00D0560D" w:rsidRDefault="00D0560D" w:rsidP="00D0560D">
      <w:pPr>
        <w:spacing w:after="0" w:line="240" w:lineRule="auto"/>
        <w:jc w:val="both"/>
        <w:rPr>
          <w:rFonts w:ascii="Arial" w:hAnsi="Arial" w:cs="Arial"/>
          <w:sz w:val="24"/>
          <w:szCs w:val="24"/>
        </w:rPr>
      </w:pPr>
    </w:p>
    <w:p w14:paraId="5FEE2D5A" w14:textId="25B2C59C" w:rsidR="00D0560D" w:rsidRPr="00D0560D" w:rsidRDefault="00D0560D" w:rsidP="00D0560D">
      <w:pPr>
        <w:spacing w:after="0" w:line="240" w:lineRule="auto"/>
        <w:jc w:val="both"/>
        <w:rPr>
          <w:rFonts w:ascii="Arial" w:hAnsi="Arial" w:cs="Arial"/>
          <w:sz w:val="24"/>
          <w:szCs w:val="24"/>
          <w:vertAlign w:val="superscript"/>
        </w:rPr>
      </w:pPr>
      <w:r w:rsidRPr="00D0560D">
        <w:rPr>
          <w:rFonts w:ascii="Arial" w:hAnsi="Arial" w:cs="Arial"/>
          <w:sz w:val="24"/>
          <w:szCs w:val="24"/>
        </w:rPr>
        <w:t>Core inflation, that is derived from a consumer basket that excludes the costs of accommodation and private road transport still holds at 1% despite the city-state hitting its 21st month of declines in consumer price index (CPI)</w:t>
      </w:r>
      <w:r>
        <w:rPr>
          <w:rFonts w:ascii="Arial" w:hAnsi="Arial" w:cs="Arial"/>
          <w:sz w:val="24"/>
          <w:szCs w:val="24"/>
          <w:vertAlign w:val="superscript"/>
        </w:rPr>
        <w:t xml:space="preserve"> 1</w:t>
      </w:r>
      <w:r w:rsidRPr="00D0560D">
        <w:rPr>
          <w:rFonts w:ascii="Arial" w:hAnsi="Arial" w:cs="Arial"/>
          <w:sz w:val="24"/>
          <w:szCs w:val="24"/>
        </w:rPr>
        <w:t>.</w:t>
      </w:r>
    </w:p>
    <w:p w14:paraId="4F4EC88F" w14:textId="77777777" w:rsidR="00D0560D" w:rsidRPr="00D0560D" w:rsidRDefault="00D0560D" w:rsidP="00D0560D">
      <w:pPr>
        <w:spacing w:after="0" w:line="240" w:lineRule="auto"/>
        <w:jc w:val="both"/>
        <w:rPr>
          <w:rFonts w:ascii="Arial" w:hAnsi="Arial" w:cs="Arial"/>
          <w:sz w:val="24"/>
          <w:szCs w:val="24"/>
        </w:rPr>
      </w:pPr>
    </w:p>
    <w:p w14:paraId="1C710140" w14:textId="77777777"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Business Times, 10 May 2016</w:t>
      </w:r>
    </w:p>
    <w:p w14:paraId="3649ABEC" w14:textId="77777777" w:rsidR="00D0560D" w:rsidRPr="00D0560D" w:rsidRDefault="00D0560D" w:rsidP="00D0560D">
      <w:pPr>
        <w:spacing w:after="0" w:line="240" w:lineRule="auto"/>
        <w:jc w:val="both"/>
        <w:rPr>
          <w:rFonts w:ascii="Arial" w:hAnsi="Arial" w:cs="Arial"/>
          <w:sz w:val="24"/>
          <w:szCs w:val="24"/>
        </w:rPr>
      </w:pPr>
    </w:p>
    <w:p w14:paraId="43555500" w14:textId="14BBB7BF" w:rsidR="00D0560D" w:rsidRPr="00D0560D" w:rsidRDefault="00D0560D" w:rsidP="00D0560D">
      <w:pPr>
        <w:spacing w:after="0" w:line="240" w:lineRule="auto"/>
        <w:jc w:val="both"/>
        <w:rPr>
          <w:rFonts w:ascii="Arial" w:hAnsi="Arial" w:cs="Arial"/>
          <w:i/>
          <w:sz w:val="24"/>
          <w:szCs w:val="24"/>
        </w:rPr>
      </w:pPr>
      <w:r>
        <w:rPr>
          <w:rFonts w:ascii="Arial" w:hAnsi="Arial" w:cs="Arial"/>
          <w:sz w:val="24"/>
          <w:szCs w:val="24"/>
          <w:vertAlign w:val="superscript"/>
        </w:rPr>
        <w:t>1</w:t>
      </w:r>
      <w:r w:rsidRPr="00D0560D">
        <w:rPr>
          <w:rFonts w:ascii="Arial" w:hAnsi="Arial" w:cs="Arial"/>
          <w:i/>
          <w:sz w:val="24"/>
          <w:szCs w:val="24"/>
        </w:rPr>
        <w:t>The CPI is calculated using a weighted average of prices for a typical bundle of goods and services purchased by households.</w:t>
      </w:r>
    </w:p>
    <w:p w14:paraId="755AE4D8" w14:textId="77777777" w:rsidR="00D0560D" w:rsidRPr="00D0560D" w:rsidRDefault="00D0560D" w:rsidP="00D0560D">
      <w:pPr>
        <w:spacing w:after="0" w:line="240" w:lineRule="auto"/>
        <w:jc w:val="both"/>
        <w:rPr>
          <w:rFonts w:ascii="Arial" w:hAnsi="Arial" w:cs="Arial"/>
          <w:i/>
          <w:sz w:val="24"/>
          <w:szCs w:val="24"/>
        </w:rPr>
      </w:pPr>
    </w:p>
    <w:p w14:paraId="0E4FE460" w14:textId="77777777" w:rsidR="00D0560D" w:rsidRDefault="00D0560D">
      <w:pPr>
        <w:rPr>
          <w:rFonts w:ascii="Arial" w:hAnsi="Arial" w:cs="Arial"/>
          <w:b/>
          <w:sz w:val="24"/>
          <w:szCs w:val="24"/>
        </w:rPr>
      </w:pPr>
      <w:r>
        <w:rPr>
          <w:rFonts w:ascii="Arial" w:hAnsi="Arial" w:cs="Arial"/>
          <w:b/>
          <w:sz w:val="24"/>
          <w:szCs w:val="24"/>
        </w:rPr>
        <w:br w:type="page"/>
      </w:r>
    </w:p>
    <w:p w14:paraId="3BAAB9CA" w14:textId="3B0A1EE4"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lastRenderedPageBreak/>
        <w:t>Extract 7: Why deflation is bad</w:t>
      </w:r>
    </w:p>
    <w:p w14:paraId="1FA65D97" w14:textId="77777777" w:rsidR="00D0560D" w:rsidRPr="00D0560D" w:rsidRDefault="00D0560D" w:rsidP="00D0560D">
      <w:pPr>
        <w:spacing w:after="0" w:line="240" w:lineRule="auto"/>
        <w:jc w:val="both"/>
        <w:rPr>
          <w:rFonts w:ascii="Arial" w:hAnsi="Arial" w:cs="Arial"/>
          <w:sz w:val="24"/>
          <w:szCs w:val="24"/>
        </w:rPr>
      </w:pPr>
    </w:p>
    <w:p w14:paraId="19779210" w14:textId="330ECCE4"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Prices in the eurozone are falling. Figures released on January 7th showed that consumer prices in the year to December fell by 0.2%, marking the return of deflation for the first time since 2009. </w:t>
      </w:r>
      <w:r w:rsidRPr="0047237A">
        <w:rPr>
          <w:rFonts w:ascii="Arial" w:hAnsi="Arial" w:cs="Arial"/>
          <w:sz w:val="24"/>
          <w:szCs w:val="24"/>
          <w:highlight w:val="yellow"/>
        </w:rPr>
        <w:t>Weak demand, driven by austerity, debt and a lack of economic growth is dragging down prices.</w:t>
      </w:r>
      <w:r w:rsidRPr="00D0560D">
        <w:rPr>
          <w:rFonts w:ascii="Arial" w:hAnsi="Arial" w:cs="Arial"/>
          <w:sz w:val="24"/>
          <w:szCs w:val="24"/>
        </w:rPr>
        <w:t xml:space="preserve"> Concerns about deflation traps and downward spirals abound. One common</w:t>
      </w:r>
      <w:r w:rsidR="0047237A">
        <w:rPr>
          <w:rFonts w:ascii="Arial" w:hAnsi="Arial" w:cs="Arial"/>
          <w:sz w:val="24"/>
          <w:szCs w:val="24"/>
        </w:rPr>
        <w:t xml:space="preserve"> </w:t>
      </w:r>
      <w:r w:rsidRPr="00D0560D">
        <w:rPr>
          <w:rFonts w:ascii="Arial" w:hAnsi="Arial" w:cs="Arial"/>
          <w:sz w:val="24"/>
          <w:szCs w:val="24"/>
        </w:rPr>
        <w:t xml:space="preserve">explanation is </w:t>
      </w:r>
      <w:commentRangeStart w:id="3"/>
      <w:r w:rsidRPr="00D0560D">
        <w:rPr>
          <w:rFonts w:ascii="Arial" w:hAnsi="Arial" w:cs="Arial"/>
          <w:sz w:val="24"/>
          <w:szCs w:val="24"/>
        </w:rPr>
        <w:t>that in anticipation of falling prices, consumers delay purchases, causing them to fall still further.</w:t>
      </w:r>
      <w:commentRangeEnd w:id="3"/>
      <w:r w:rsidR="0047237A">
        <w:rPr>
          <w:rStyle w:val="CommentReference"/>
        </w:rPr>
        <w:commentReference w:id="3"/>
      </w:r>
    </w:p>
    <w:p w14:paraId="5B7FE559" w14:textId="77777777" w:rsidR="00D0560D" w:rsidRDefault="00D0560D" w:rsidP="00D0560D">
      <w:pPr>
        <w:spacing w:after="0" w:line="240" w:lineRule="auto"/>
        <w:jc w:val="both"/>
        <w:rPr>
          <w:rFonts w:ascii="Arial" w:hAnsi="Arial" w:cs="Arial"/>
          <w:sz w:val="24"/>
          <w:szCs w:val="24"/>
        </w:rPr>
      </w:pPr>
    </w:p>
    <w:p w14:paraId="1B2B295C" w14:textId="2772003D"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The Economist, 7 Jan 2015</w:t>
      </w:r>
    </w:p>
    <w:p w14:paraId="61DE7514" w14:textId="77777777" w:rsidR="00D0560D" w:rsidRPr="00D0560D" w:rsidRDefault="00D0560D" w:rsidP="00D0560D">
      <w:pPr>
        <w:spacing w:after="0" w:line="240" w:lineRule="auto"/>
        <w:jc w:val="both"/>
        <w:rPr>
          <w:rFonts w:ascii="Arial" w:hAnsi="Arial" w:cs="Arial"/>
          <w:sz w:val="24"/>
          <w:szCs w:val="24"/>
        </w:rPr>
      </w:pPr>
    </w:p>
    <w:p w14:paraId="2E3E651F" w14:textId="77777777"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Extract 8: Singapore’s monetary policy</w:t>
      </w:r>
    </w:p>
    <w:p w14:paraId="2ABA1C79" w14:textId="77777777" w:rsidR="00D0560D" w:rsidRPr="00D0560D" w:rsidRDefault="00D0560D" w:rsidP="00D0560D">
      <w:pPr>
        <w:spacing w:after="0" w:line="240" w:lineRule="auto"/>
        <w:jc w:val="both"/>
        <w:rPr>
          <w:rFonts w:ascii="Arial" w:hAnsi="Arial" w:cs="Arial"/>
          <w:sz w:val="24"/>
          <w:szCs w:val="24"/>
        </w:rPr>
      </w:pPr>
    </w:p>
    <w:p w14:paraId="40E30900" w14:textId="288D1C98"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Most countries, including the United States and China, adopt an interest rate policy where central banks raise or cut interest rates. </w:t>
      </w:r>
      <w:commentRangeStart w:id="4"/>
      <w:r w:rsidRPr="0047237A">
        <w:rPr>
          <w:rFonts w:ascii="Arial" w:hAnsi="Arial" w:cs="Arial"/>
          <w:sz w:val="24"/>
          <w:szCs w:val="24"/>
          <w:highlight w:val="yellow"/>
        </w:rPr>
        <w:t xml:space="preserve">Singapore is the only major economy in the world to use the exchange rate, guiding the Singapore dollar higher or </w:t>
      </w:r>
      <w:commentRangeStart w:id="5"/>
      <w:r w:rsidRPr="0047237A">
        <w:rPr>
          <w:rFonts w:ascii="Arial" w:hAnsi="Arial" w:cs="Arial"/>
          <w:sz w:val="24"/>
          <w:szCs w:val="24"/>
          <w:highlight w:val="yellow"/>
        </w:rPr>
        <w:t>lower</w:t>
      </w:r>
      <w:commentRangeEnd w:id="5"/>
      <w:r w:rsidR="0047237A">
        <w:rPr>
          <w:rStyle w:val="CommentReference"/>
        </w:rPr>
        <w:commentReference w:id="5"/>
      </w:r>
      <w:r w:rsidRPr="0047237A">
        <w:rPr>
          <w:rFonts w:ascii="Arial" w:hAnsi="Arial" w:cs="Arial"/>
          <w:sz w:val="24"/>
          <w:szCs w:val="24"/>
          <w:highlight w:val="yellow"/>
        </w:rPr>
        <w:t>.</w:t>
      </w:r>
      <w:commentRangeEnd w:id="4"/>
      <w:r w:rsidR="00286989">
        <w:rPr>
          <w:rStyle w:val="CommentReference"/>
        </w:rPr>
        <w:commentReference w:id="4"/>
      </w:r>
    </w:p>
    <w:p w14:paraId="488EC03F" w14:textId="77777777" w:rsidR="00D0560D" w:rsidRPr="00D0560D" w:rsidRDefault="00D0560D" w:rsidP="00D0560D">
      <w:pPr>
        <w:spacing w:after="0" w:line="240" w:lineRule="auto"/>
        <w:jc w:val="both"/>
        <w:rPr>
          <w:rFonts w:ascii="Arial" w:hAnsi="Arial" w:cs="Arial"/>
          <w:sz w:val="24"/>
          <w:szCs w:val="24"/>
        </w:rPr>
      </w:pPr>
    </w:p>
    <w:p w14:paraId="60DD23EF"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The MAS says the exchange rate is the best tool for a small, open economy like Singapore. It is a more effective way to manage inflation, as much of the country's consumer goods are imported. The MAS has effectively given up control of domestic interest rates. Instead, borrowing costs are largely determined by US interest rates and investors' expectations of the future movement of the Singapore dollar.</w:t>
      </w:r>
    </w:p>
    <w:p w14:paraId="5FD925D4" w14:textId="77777777" w:rsidR="00D0560D" w:rsidRDefault="00D0560D" w:rsidP="00D0560D">
      <w:pPr>
        <w:spacing w:after="0" w:line="240" w:lineRule="auto"/>
        <w:jc w:val="both"/>
        <w:rPr>
          <w:rFonts w:ascii="Arial" w:hAnsi="Arial" w:cs="Arial"/>
          <w:sz w:val="24"/>
          <w:szCs w:val="24"/>
        </w:rPr>
      </w:pPr>
    </w:p>
    <w:p w14:paraId="1EB866FC" w14:textId="5830B694"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Straits Times, 13 Oct 2015</w:t>
      </w:r>
    </w:p>
    <w:p w14:paraId="23539F40" w14:textId="77777777" w:rsidR="00D0560D" w:rsidRPr="00D0560D" w:rsidRDefault="00D0560D" w:rsidP="00D0560D">
      <w:pPr>
        <w:spacing w:after="0" w:line="240" w:lineRule="auto"/>
        <w:jc w:val="both"/>
        <w:rPr>
          <w:rFonts w:ascii="Arial" w:hAnsi="Arial" w:cs="Arial"/>
          <w:sz w:val="24"/>
          <w:szCs w:val="24"/>
        </w:rPr>
      </w:pPr>
    </w:p>
    <w:p w14:paraId="5A111B96" w14:textId="77777777"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 xml:space="preserve">Extract 9: Tapping on the </w:t>
      </w:r>
      <w:commentRangeStart w:id="6"/>
      <w:r w:rsidRPr="00286989">
        <w:rPr>
          <w:rFonts w:ascii="Arial" w:hAnsi="Arial" w:cs="Arial"/>
          <w:b/>
          <w:sz w:val="24"/>
          <w:szCs w:val="24"/>
          <w:highlight w:val="yellow"/>
        </w:rPr>
        <w:t>Inclusive Growth Programme</w:t>
      </w:r>
      <w:commentRangeEnd w:id="6"/>
      <w:r w:rsidR="00286989" w:rsidRPr="00286989">
        <w:rPr>
          <w:rStyle w:val="CommentReference"/>
          <w:highlight w:val="yellow"/>
        </w:rPr>
        <w:commentReference w:id="6"/>
      </w:r>
    </w:p>
    <w:p w14:paraId="5D5C3251" w14:textId="77777777" w:rsidR="00D0560D" w:rsidRPr="00D0560D" w:rsidRDefault="00D0560D" w:rsidP="00D0560D">
      <w:pPr>
        <w:spacing w:after="0" w:line="240" w:lineRule="auto"/>
        <w:jc w:val="both"/>
        <w:rPr>
          <w:rFonts w:ascii="Arial" w:hAnsi="Arial" w:cs="Arial"/>
          <w:sz w:val="24"/>
          <w:szCs w:val="24"/>
        </w:rPr>
      </w:pPr>
    </w:p>
    <w:p w14:paraId="35032BB0" w14:textId="49BAF50D"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As part of the Ministry of Manpower’s Lean Enterprise Development Scheme, the Inclusive Growth Programme (IGP) helps businesses develop more efficient processes through automation and re-designing work processes to enhance productivity. Administered by NTUC’s Employment and Employability Institute (e2i), the IGP also benefits workers through gains- sharing by companies. Since its launch in 2010, e2i has partnered industry associations and small medium enterprises (SMEs), with a commitment to impact some 105,000 workers with an average wage increase of 18%.</w:t>
      </w:r>
    </w:p>
    <w:p w14:paraId="2457D26F" w14:textId="77777777" w:rsidR="00D0560D" w:rsidRPr="00D0560D" w:rsidRDefault="00D0560D" w:rsidP="00D0560D">
      <w:pPr>
        <w:spacing w:after="0" w:line="240" w:lineRule="auto"/>
        <w:jc w:val="both"/>
        <w:rPr>
          <w:rFonts w:ascii="Arial" w:hAnsi="Arial" w:cs="Arial"/>
          <w:sz w:val="24"/>
          <w:szCs w:val="24"/>
        </w:rPr>
      </w:pPr>
    </w:p>
    <w:p w14:paraId="55AFC5BE"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In line with </w:t>
      </w:r>
      <w:proofErr w:type="spellStart"/>
      <w:r w:rsidRPr="00D0560D">
        <w:rPr>
          <w:rFonts w:ascii="Arial" w:hAnsi="Arial" w:cs="Arial"/>
          <w:sz w:val="24"/>
          <w:szCs w:val="24"/>
        </w:rPr>
        <w:t>SkillsFuture</w:t>
      </w:r>
      <w:proofErr w:type="spellEnd"/>
      <w:r w:rsidRPr="00D0560D">
        <w:rPr>
          <w:rFonts w:ascii="Arial" w:hAnsi="Arial" w:cs="Arial"/>
          <w:sz w:val="24"/>
          <w:szCs w:val="24"/>
        </w:rPr>
        <w:t xml:space="preserve">, the Ministry of Manpower, together with Workforce Singapore, the Ministry of Education and other economic agencies in government, are developing an integrated system of education and training to provide all Singaporeans with the enhanced opportunities to acquire greater skills proficiency, knowledge and expertise. By enabling a </w:t>
      </w:r>
      <w:proofErr w:type="gramStart"/>
      <w:r w:rsidRPr="00D0560D">
        <w:rPr>
          <w:rFonts w:ascii="Arial" w:hAnsi="Arial" w:cs="Arial"/>
          <w:sz w:val="24"/>
          <w:szCs w:val="24"/>
        </w:rPr>
        <w:t>highly-skilled</w:t>
      </w:r>
      <w:proofErr w:type="gramEnd"/>
      <w:r w:rsidRPr="00D0560D">
        <w:rPr>
          <w:rFonts w:ascii="Arial" w:hAnsi="Arial" w:cs="Arial"/>
          <w:sz w:val="24"/>
          <w:szCs w:val="24"/>
        </w:rPr>
        <w:t xml:space="preserve"> and competitive workforce, it has allowed Singaporeans to secure better jobs, higher incomes and enjoy higher standards of living. With the fast pace of technological advancements and stronger global competition for jobs, skills </w:t>
      </w:r>
      <w:proofErr w:type="gramStart"/>
      <w:r w:rsidRPr="00D0560D">
        <w:rPr>
          <w:rFonts w:ascii="Arial" w:hAnsi="Arial" w:cs="Arial"/>
          <w:sz w:val="24"/>
          <w:szCs w:val="24"/>
        </w:rPr>
        <w:t>upgrading</w:t>
      </w:r>
      <w:proofErr w:type="gramEnd"/>
      <w:r w:rsidRPr="00D0560D">
        <w:rPr>
          <w:rFonts w:ascii="Arial" w:hAnsi="Arial" w:cs="Arial"/>
          <w:sz w:val="24"/>
          <w:szCs w:val="24"/>
        </w:rPr>
        <w:t xml:space="preserve"> and deepening are essential for Singaporeans to maintain a competitive edge.</w:t>
      </w:r>
    </w:p>
    <w:p w14:paraId="4D156B1C" w14:textId="77777777" w:rsidR="00D0560D" w:rsidRDefault="00D0560D" w:rsidP="00D0560D">
      <w:pPr>
        <w:spacing w:after="0" w:line="240" w:lineRule="auto"/>
        <w:jc w:val="both"/>
        <w:rPr>
          <w:rFonts w:ascii="Arial" w:hAnsi="Arial" w:cs="Arial"/>
          <w:sz w:val="24"/>
          <w:szCs w:val="24"/>
        </w:rPr>
      </w:pPr>
    </w:p>
    <w:p w14:paraId="5341FCD0" w14:textId="35104AE1" w:rsidR="00D0560D" w:rsidRP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www.mom.gov.sg website, accessed 3 August 2018</w:t>
      </w:r>
    </w:p>
    <w:p w14:paraId="1E455BFD" w14:textId="1610DD42" w:rsidR="00D0560D" w:rsidRDefault="00D0560D" w:rsidP="00D0560D">
      <w:pPr>
        <w:spacing w:after="0" w:line="240" w:lineRule="auto"/>
        <w:jc w:val="both"/>
        <w:rPr>
          <w:rFonts w:ascii="Arial" w:hAnsi="Arial" w:cs="Arial"/>
          <w:sz w:val="24"/>
          <w:szCs w:val="24"/>
        </w:rPr>
      </w:pPr>
    </w:p>
    <w:p w14:paraId="2004DD4F" w14:textId="75AAD93E" w:rsidR="00286989" w:rsidRDefault="00286989" w:rsidP="00D0560D">
      <w:pPr>
        <w:spacing w:after="0" w:line="240" w:lineRule="auto"/>
        <w:jc w:val="both"/>
        <w:rPr>
          <w:rFonts w:ascii="Arial" w:hAnsi="Arial" w:cs="Arial"/>
          <w:sz w:val="24"/>
          <w:szCs w:val="24"/>
        </w:rPr>
      </w:pPr>
    </w:p>
    <w:p w14:paraId="365D0C8C" w14:textId="2AB7156D" w:rsidR="00286989" w:rsidRDefault="00286989" w:rsidP="00D0560D">
      <w:pPr>
        <w:spacing w:after="0" w:line="240" w:lineRule="auto"/>
        <w:jc w:val="both"/>
        <w:rPr>
          <w:rFonts w:ascii="Arial" w:hAnsi="Arial" w:cs="Arial"/>
          <w:sz w:val="24"/>
          <w:szCs w:val="24"/>
        </w:rPr>
      </w:pPr>
    </w:p>
    <w:p w14:paraId="4CBDC3C6" w14:textId="270C6038" w:rsidR="00286989" w:rsidRDefault="00286989" w:rsidP="00D0560D">
      <w:pPr>
        <w:spacing w:after="0" w:line="240" w:lineRule="auto"/>
        <w:jc w:val="both"/>
        <w:rPr>
          <w:rFonts w:ascii="Arial" w:hAnsi="Arial" w:cs="Arial"/>
          <w:sz w:val="24"/>
          <w:szCs w:val="24"/>
        </w:rPr>
      </w:pPr>
    </w:p>
    <w:p w14:paraId="20D3FD4B" w14:textId="77777777" w:rsidR="00286989" w:rsidRPr="00D0560D" w:rsidRDefault="00286989" w:rsidP="00D0560D">
      <w:pPr>
        <w:spacing w:after="0" w:line="240" w:lineRule="auto"/>
        <w:jc w:val="both"/>
        <w:rPr>
          <w:rFonts w:ascii="Arial" w:hAnsi="Arial" w:cs="Arial"/>
          <w:sz w:val="24"/>
          <w:szCs w:val="24"/>
        </w:rPr>
      </w:pPr>
    </w:p>
    <w:p w14:paraId="65E6AA70" w14:textId="29D4EFDF" w:rsidR="00D0560D" w:rsidRPr="00D0560D" w:rsidRDefault="00D0560D" w:rsidP="00D0560D">
      <w:pPr>
        <w:spacing w:after="0" w:line="240" w:lineRule="auto"/>
        <w:jc w:val="both"/>
        <w:rPr>
          <w:rFonts w:ascii="Arial" w:hAnsi="Arial" w:cs="Arial"/>
          <w:b/>
          <w:sz w:val="24"/>
          <w:szCs w:val="24"/>
        </w:rPr>
      </w:pPr>
      <w:r w:rsidRPr="00D0560D">
        <w:rPr>
          <w:rFonts w:ascii="Arial" w:hAnsi="Arial" w:cs="Arial"/>
          <w:b/>
          <w:sz w:val="24"/>
          <w:szCs w:val="24"/>
        </w:rPr>
        <w:t>Extract 10: Five priorities in achieving inclusive growth</w:t>
      </w:r>
    </w:p>
    <w:p w14:paraId="69030CD6" w14:textId="77777777" w:rsidR="00D0560D" w:rsidRPr="00D0560D" w:rsidRDefault="00D0560D" w:rsidP="00D0560D">
      <w:pPr>
        <w:spacing w:after="0" w:line="240" w:lineRule="auto"/>
        <w:jc w:val="both"/>
        <w:rPr>
          <w:rFonts w:ascii="Arial" w:hAnsi="Arial" w:cs="Arial"/>
          <w:sz w:val="24"/>
          <w:szCs w:val="24"/>
        </w:rPr>
      </w:pPr>
    </w:p>
    <w:p w14:paraId="5D2566FF" w14:textId="764A5949"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There are ways to implement a fair and progressive fiscal policy to encourage enterprise and innovation without shifting the burden of taxes to the poor or the middle class, said Deputy Prime Minister Tharman Shanmugaratnam. He outlined five priorities in achieving both innovation-driven and inclusive growth.</w:t>
      </w:r>
    </w:p>
    <w:p w14:paraId="1D503A2F" w14:textId="77777777" w:rsidR="00D0560D" w:rsidRPr="00D0560D" w:rsidRDefault="00D0560D" w:rsidP="00D0560D">
      <w:pPr>
        <w:spacing w:after="0" w:line="240" w:lineRule="auto"/>
        <w:jc w:val="both"/>
        <w:rPr>
          <w:rFonts w:ascii="Arial" w:hAnsi="Arial" w:cs="Arial"/>
          <w:sz w:val="24"/>
          <w:szCs w:val="24"/>
        </w:rPr>
      </w:pPr>
    </w:p>
    <w:p w14:paraId="7EED3C72"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Tax credits and subsidies for upskilling are another example of a policy that supports equity as well as innovation and growth. It helps workers who face dislocation in the market; it leads to skills accumulation across society; everyone benefits.</w:t>
      </w:r>
    </w:p>
    <w:p w14:paraId="6E34CC42" w14:textId="7777777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 xml:space="preserve"> </w:t>
      </w:r>
    </w:p>
    <w:p w14:paraId="7A8D0113" w14:textId="3146E390"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 second priority in tax policy concerns property taxes. It is the most efficient tax; that is, the least damaging to income growth. There is in fact more scope in many of our economies to increase taxes on immovable property: land as well as developed real estate.</w:t>
      </w:r>
    </w:p>
    <w:p w14:paraId="0794E60E" w14:textId="77777777" w:rsidR="00D0560D" w:rsidRPr="00D0560D" w:rsidRDefault="00D0560D" w:rsidP="00D0560D">
      <w:pPr>
        <w:spacing w:after="0" w:line="240" w:lineRule="auto"/>
        <w:jc w:val="both"/>
        <w:rPr>
          <w:rFonts w:ascii="Arial" w:hAnsi="Arial" w:cs="Arial"/>
          <w:sz w:val="24"/>
          <w:szCs w:val="24"/>
        </w:rPr>
      </w:pPr>
    </w:p>
    <w:p w14:paraId="0E6F34E9" w14:textId="1A03320B"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 third priority is in ensuring fair subsidies for public services, targeted at those who need it most. Healthcare financing is especially the challenge in more mature societies, and those which are getting older. Fair and targeted subsidies are at the heart of ensuring both social equity and sustainable budgets — and if we don’t address this well, we will see taxes go up even more as our societies age.</w:t>
      </w:r>
    </w:p>
    <w:p w14:paraId="07A388DF" w14:textId="77777777" w:rsidR="00D0560D" w:rsidRPr="00D0560D" w:rsidRDefault="00D0560D" w:rsidP="00D0560D">
      <w:pPr>
        <w:spacing w:after="0" w:line="240" w:lineRule="auto"/>
        <w:jc w:val="both"/>
        <w:rPr>
          <w:rFonts w:ascii="Arial" w:hAnsi="Arial" w:cs="Arial"/>
          <w:sz w:val="24"/>
          <w:szCs w:val="24"/>
        </w:rPr>
      </w:pPr>
    </w:p>
    <w:p w14:paraId="5B4D7DA0" w14:textId="27C68152"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 fourth priority is to mitigate the regressive feature of consumption taxes (Goods and Services Tax or Value Added Tax). They are efficient taxes, but on their own they hurt the poor more. That’s why in most countries we try to offset their impact on the poor.</w:t>
      </w:r>
    </w:p>
    <w:p w14:paraId="055BE402" w14:textId="77777777" w:rsidR="00D0560D" w:rsidRPr="00D0560D" w:rsidRDefault="00D0560D" w:rsidP="00D0560D">
      <w:pPr>
        <w:spacing w:after="0" w:line="240" w:lineRule="auto"/>
        <w:jc w:val="both"/>
        <w:rPr>
          <w:rFonts w:ascii="Arial" w:hAnsi="Arial" w:cs="Arial"/>
          <w:sz w:val="24"/>
          <w:szCs w:val="24"/>
        </w:rPr>
      </w:pPr>
    </w:p>
    <w:p w14:paraId="46D938B1" w14:textId="29F8FEA8" w:rsid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Fifth, in the same vein of achieving progressivity in our tax systems, a dollar cap on total personal income tax deductions is a useful reform. We have recently instituted this in Singapore. As the OECD (Organisation for Economic Cooperation and Development) points out, those who get the most benefit from some tax allowances are the rich, and in many countries we need a way to cap total tax deductions so as to preserve the progressivity of income tax.</w:t>
      </w:r>
    </w:p>
    <w:p w14:paraId="504E4D52" w14:textId="77777777" w:rsidR="00D0560D" w:rsidRPr="00D0560D" w:rsidRDefault="00D0560D" w:rsidP="00D0560D">
      <w:pPr>
        <w:spacing w:after="0" w:line="240" w:lineRule="auto"/>
        <w:jc w:val="both"/>
        <w:rPr>
          <w:rFonts w:ascii="Arial" w:hAnsi="Arial" w:cs="Arial"/>
          <w:sz w:val="24"/>
          <w:szCs w:val="24"/>
        </w:rPr>
      </w:pPr>
    </w:p>
    <w:p w14:paraId="3E38F5B0" w14:textId="1660C8C7" w:rsidR="00D0560D" w:rsidRDefault="00D0560D" w:rsidP="00D0560D">
      <w:pPr>
        <w:spacing w:after="0" w:line="240" w:lineRule="auto"/>
        <w:jc w:val="right"/>
        <w:rPr>
          <w:rFonts w:ascii="Arial" w:hAnsi="Arial" w:cs="Arial"/>
          <w:sz w:val="24"/>
          <w:szCs w:val="24"/>
        </w:rPr>
      </w:pPr>
      <w:r w:rsidRPr="00D0560D">
        <w:rPr>
          <w:rFonts w:ascii="Arial" w:hAnsi="Arial" w:cs="Arial"/>
          <w:sz w:val="24"/>
          <w:szCs w:val="24"/>
        </w:rPr>
        <w:t>Source: Today, 25 July 2016</w:t>
      </w:r>
    </w:p>
    <w:p w14:paraId="238261A8" w14:textId="77777777" w:rsidR="00BE287A" w:rsidRPr="00BE287A" w:rsidRDefault="00BE287A" w:rsidP="00BE287A">
      <w:pPr>
        <w:spacing w:after="0" w:line="240" w:lineRule="auto"/>
        <w:jc w:val="both"/>
        <w:rPr>
          <w:rFonts w:ascii="Arial" w:hAnsi="Arial" w:cs="Arial"/>
          <w:sz w:val="24"/>
          <w:szCs w:val="24"/>
        </w:rPr>
      </w:pPr>
    </w:p>
    <w:p w14:paraId="50021138" w14:textId="77777777" w:rsidR="00BE287A" w:rsidRPr="00BE287A" w:rsidRDefault="00BE287A" w:rsidP="00BE287A">
      <w:pPr>
        <w:spacing w:after="0" w:line="240" w:lineRule="auto"/>
        <w:jc w:val="both"/>
        <w:rPr>
          <w:rFonts w:ascii="Arial" w:hAnsi="Arial" w:cs="Arial"/>
          <w:sz w:val="24"/>
          <w:szCs w:val="24"/>
        </w:rPr>
      </w:pPr>
    </w:p>
    <w:p w14:paraId="1E3CEC6E" w14:textId="66458AE0" w:rsidR="00D0560D" w:rsidRDefault="00D0560D">
      <w:pPr>
        <w:rPr>
          <w:rFonts w:ascii="Arial" w:hAnsi="Arial" w:cs="Arial"/>
          <w:b/>
          <w:sz w:val="24"/>
          <w:szCs w:val="24"/>
        </w:rPr>
      </w:pPr>
      <w:r>
        <w:rPr>
          <w:rFonts w:ascii="Arial" w:hAnsi="Arial" w:cs="Arial"/>
          <w:b/>
          <w:sz w:val="24"/>
          <w:szCs w:val="24"/>
        </w:rPr>
        <w:br w:type="page"/>
      </w:r>
    </w:p>
    <w:p w14:paraId="2DCBE302" w14:textId="3EE53457" w:rsidR="00D0560D" w:rsidRPr="000C3E58" w:rsidRDefault="00D0560D" w:rsidP="00D0560D">
      <w:pPr>
        <w:spacing w:after="0" w:line="240" w:lineRule="auto"/>
        <w:jc w:val="both"/>
        <w:rPr>
          <w:rFonts w:ascii="Arial" w:hAnsi="Arial" w:cs="Arial"/>
          <w:b/>
          <w:sz w:val="30"/>
          <w:szCs w:val="30"/>
        </w:rPr>
      </w:pPr>
      <w:r w:rsidRPr="000C3E58">
        <w:rPr>
          <w:rFonts w:ascii="Arial" w:hAnsi="Arial" w:cs="Arial"/>
          <w:b/>
          <w:sz w:val="30"/>
          <w:szCs w:val="30"/>
        </w:rPr>
        <w:t>Questions</w:t>
      </w:r>
    </w:p>
    <w:p w14:paraId="7A15C09F" w14:textId="77777777" w:rsidR="000C3E58" w:rsidRPr="00D0560D" w:rsidRDefault="000C3E58" w:rsidP="00D0560D">
      <w:pPr>
        <w:spacing w:after="0" w:line="240" w:lineRule="auto"/>
        <w:jc w:val="both"/>
        <w:rPr>
          <w:rFonts w:ascii="Arial" w:hAnsi="Arial" w:cs="Arial"/>
          <w:b/>
          <w:sz w:val="24"/>
          <w:szCs w:val="24"/>
        </w:rPr>
      </w:pPr>
    </w:p>
    <w:p w14:paraId="01D0A1C4" w14:textId="2833840F"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(a)(</w:t>
      </w:r>
      <w:proofErr w:type="spellStart"/>
      <w:r w:rsidRPr="00D0560D">
        <w:rPr>
          <w:rFonts w:ascii="Arial" w:hAnsi="Arial" w:cs="Arial"/>
          <w:sz w:val="24"/>
          <w:szCs w:val="24"/>
        </w:rPr>
        <w:t>i</w:t>
      </w:r>
      <w:proofErr w:type="spellEnd"/>
      <w:r w:rsidRPr="00D0560D">
        <w:rPr>
          <w:rFonts w:ascii="Arial" w:hAnsi="Arial" w:cs="Arial"/>
          <w:sz w:val="24"/>
          <w:szCs w:val="24"/>
        </w:rPr>
        <w:t>)</w:t>
      </w:r>
      <w:r>
        <w:rPr>
          <w:rFonts w:ascii="Arial" w:hAnsi="Arial" w:cs="Arial"/>
          <w:sz w:val="24"/>
          <w:szCs w:val="24"/>
        </w:rPr>
        <w:t xml:space="preserve"> </w:t>
      </w:r>
      <w:r w:rsidRPr="00D0560D">
        <w:rPr>
          <w:rFonts w:ascii="Arial" w:hAnsi="Arial" w:cs="Arial"/>
          <w:sz w:val="24"/>
          <w:szCs w:val="24"/>
        </w:rPr>
        <w:t>Compare Singapore’s budget balance for 2015-2016 with 2013-2014.</w:t>
      </w:r>
      <w:r>
        <w:rPr>
          <w:rFonts w:ascii="Arial" w:hAnsi="Arial" w:cs="Arial"/>
          <w:sz w:val="24"/>
          <w:szCs w:val="24"/>
        </w:rPr>
        <w:t xml:space="preserve"> </w:t>
      </w:r>
      <w:r w:rsidRPr="00D0560D">
        <w:rPr>
          <w:rFonts w:ascii="Arial" w:hAnsi="Arial" w:cs="Arial"/>
          <w:sz w:val="24"/>
          <w:szCs w:val="24"/>
        </w:rPr>
        <w:t>[2]</w:t>
      </w:r>
    </w:p>
    <w:p w14:paraId="3D8E39CA" w14:textId="49B9F2DB"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(ii)</w:t>
      </w:r>
      <w:r>
        <w:rPr>
          <w:rFonts w:ascii="Arial" w:hAnsi="Arial" w:cs="Arial"/>
          <w:sz w:val="24"/>
          <w:szCs w:val="24"/>
        </w:rPr>
        <w:t xml:space="preserve"> </w:t>
      </w:r>
      <w:r w:rsidRPr="00D0560D">
        <w:rPr>
          <w:rFonts w:ascii="Arial" w:hAnsi="Arial" w:cs="Arial"/>
          <w:sz w:val="24"/>
          <w:szCs w:val="24"/>
        </w:rPr>
        <w:t>To what extent can it be concluded from Table 1 that the standard of living</w:t>
      </w:r>
      <w:r>
        <w:rPr>
          <w:rFonts w:ascii="Arial" w:hAnsi="Arial" w:cs="Arial"/>
          <w:sz w:val="24"/>
          <w:szCs w:val="24"/>
        </w:rPr>
        <w:t xml:space="preserve"> </w:t>
      </w:r>
      <w:r w:rsidRPr="00D0560D">
        <w:rPr>
          <w:rFonts w:ascii="Arial" w:hAnsi="Arial" w:cs="Arial"/>
          <w:sz w:val="24"/>
          <w:szCs w:val="24"/>
        </w:rPr>
        <w:t>in Singapore in 2016 is better than in 2013?</w:t>
      </w:r>
      <w:r>
        <w:rPr>
          <w:rFonts w:ascii="Arial" w:hAnsi="Arial" w:cs="Arial"/>
          <w:sz w:val="24"/>
          <w:szCs w:val="24"/>
        </w:rPr>
        <w:t xml:space="preserve"> </w:t>
      </w:r>
      <w:r w:rsidRPr="00D0560D">
        <w:rPr>
          <w:rFonts w:ascii="Arial" w:hAnsi="Arial" w:cs="Arial"/>
          <w:sz w:val="24"/>
          <w:szCs w:val="24"/>
        </w:rPr>
        <w:t>[5]</w:t>
      </w:r>
    </w:p>
    <w:p w14:paraId="7C56695C" w14:textId="77777777" w:rsidR="00D0560D" w:rsidRDefault="00D0560D" w:rsidP="00D0560D">
      <w:pPr>
        <w:spacing w:after="0" w:line="240" w:lineRule="auto"/>
        <w:jc w:val="both"/>
        <w:rPr>
          <w:rFonts w:ascii="Arial" w:hAnsi="Arial" w:cs="Arial"/>
          <w:sz w:val="24"/>
          <w:szCs w:val="24"/>
        </w:rPr>
      </w:pPr>
    </w:p>
    <w:p w14:paraId="229B724F" w14:textId="10CC6922" w:rsidR="00D0560D" w:rsidRPr="006B18D6" w:rsidRDefault="00D0560D" w:rsidP="00D0560D">
      <w:pPr>
        <w:spacing w:after="0" w:line="240" w:lineRule="auto"/>
        <w:jc w:val="both"/>
        <w:rPr>
          <w:rFonts w:ascii="Arial" w:hAnsi="Arial" w:cs="Arial"/>
          <w:sz w:val="24"/>
          <w:szCs w:val="24"/>
          <w:highlight w:val="yellow"/>
        </w:rPr>
      </w:pPr>
      <w:r w:rsidRPr="006B18D6">
        <w:rPr>
          <w:rFonts w:ascii="Arial" w:hAnsi="Arial" w:cs="Arial"/>
          <w:sz w:val="24"/>
          <w:szCs w:val="24"/>
          <w:highlight w:val="yellow"/>
        </w:rPr>
        <w:t>(b)(</w:t>
      </w:r>
      <w:proofErr w:type="spellStart"/>
      <w:r w:rsidRPr="006B18D6">
        <w:rPr>
          <w:rFonts w:ascii="Arial" w:hAnsi="Arial" w:cs="Arial"/>
          <w:sz w:val="24"/>
          <w:szCs w:val="24"/>
          <w:highlight w:val="yellow"/>
        </w:rPr>
        <w:t>i</w:t>
      </w:r>
      <w:proofErr w:type="spellEnd"/>
      <w:r w:rsidRPr="006B18D6">
        <w:rPr>
          <w:rFonts w:ascii="Arial" w:hAnsi="Arial" w:cs="Arial"/>
          <w:sz w:val="24"/>
          <w:szCs w:val="24"/>
          <w:highlight w:val="yellow"/>
        </w:rPr>
        <w:t>) With the help of a diagram, explain why Singapore experienced falling consumer prices in 2015 and 2016. [3]</w:t>
      </w:r>
    </w:p>
    <w:p w14:paraId="407CF347" w14:textId="1E238DE1" w:rsidR="00D0560D" w:rsidRPr="00D0560D" w:rsidRDefault="00D0560D" w:rsidP="00D0560D">
      <w:pPr>
        <w:spacing w:after="0" w:line="240" w:lineRule="auto"/>
        <w:jc w:val="both"/>
        <w:rPr>
          <w:rFonts w:ascii="Arial" w:hAnsi="Arial" w:cs="Arial"/>
          <w:sz w:val="24"/>
          <w:szCs w:val="24"/>
        </w:rPr>
      </w:pPr>
      <w:r w:rsidRPr="006B18D6">
        <w:rPr>
          <w:rFonts w:ascii="Arial" w:hAnsi="Arial" w:cs="Arial"/>
          <w:sz w:val="24"/>
          <w:szCs w:val="24"/>
          <w:highlight w:val="yellow"/>
        </w:rPr>
        <w:t>(ii) Explain whether the data suggests that the “slump” in consumer prices (Extract 6) is likely to continue. [4]</w:t>
      </w:r>
    </w:p>
    <w:p w14:paraId="148DB593" w14:textId="77777777" w:rsidR="00D0560D" w:rsidRPr="00D0560D" w:rsidRDefault="00D0560D" w:rsidP="00D0560D">
      <w:pPr>
        <w:spacing w:after="0" w:line="240" w:lineRule="auto"/>
        <w:jc w:val="both"/>
        <w:rPr>
          <w:rFonts w:ascii="Arial" w:hAnsi="Arial" w:cs="Arial"/>
          <w:sz w:val="24"/>
          <w:szCs w:val="24"/>
        </w:rPr>
      </w:pPr>
    </w:p>
    <w:p w14:paraId="1B7B8685" w14:textId="5A41A217" w:rsidR="00D0560D" w:rsidRPr="00D0560D" w:rsidRDefault="00D0560D" w:rsidP="00D0560D">
      <w:pPr>
        <w:spacing w:after="0" w:line="240" w:lineRule="auto"/>
        <w:jc w:val="both"/>
        <w:rPr>
          <w:rFonts w:ascii="Arial" w:hAnsi="Arial" w:cs="Arial"/>
          <w:sz w:val="24"/>
          <w:szCs w:val="24"/>
        </w:rPr>
      </w:pPr>
      <w:r w:rsidRPr="00D0560D">
        <w:rPr>
          <w:rFonts w:ascii="Arial" w:hAnsi="Arial" w:cs="Arial"/>
          <w:sz w:val="24"/>
          <w:szCs w:val="24"/>
        </w:rPr>
        <w:t>(c)</w:t>
      </w:r>
      <w:r>
        <w:rPr>
          <w:rFonts w:ascii="Arial" w:hAnsi="Arial" w:cs="Arial"/>
          <w:sz w:val="24"/>
          <w:szCs w:val="24"/>
        </w:rPr>
        <w:t xml:space="preserve"> </w:t>
      </w:r>
      <w:r w:rsidRPr="00D0560D">
        <w:rPr>
          <w:rFonts w:ascii="Arial" w:hAnsi="Arial" w:cs="Arial"/>
          <w:sz w:val="24"/>
          <w:szCs w:val="24"/>
        </w:rPr>
        <w:t xml:space="preserve">With reference to Extract 6, suggest how it is possible that overall </w:t>
      </w:r>
      <w:r w:rsidRPr="009D7816">
        <w:rPr>
          <w:rFonts w:ascii="Arial" w:hAnsi="Arial" w:cs="Arial"/>
          <w:sz w:val="24"/>
          <w:szCs w:val="24"/>
          <w:u w:val="single"/>
        </w:rPr>
        <w:t>consumer</w:t>
      </w:r>
      <w:r w:rsidRPr="00D0560D">
        <w:rPr>
          <w:rFonts w:ascii="Arial" w:hAnsi="Arial" w:cs="Arial"/>
          <w:sz w:val="24"/>
          <w:szCs w:val="24"/>
        </w:rPr>
        <w:t xml:space="preserve"> prices fell despite prices of household durables, education, and recreation holding up.</w:t>
      </w:r>
      <w:r>
        <w:rPr>
          <w:rFonts w:ascii="Arial" w:hAnsi="Arial" w:cs="Arial"/>
          <w:sz w:val="24"/>
          <w:szCs w:val="24"/>
        </w:rPr>
        <w:t xml:space="preserve"> </w:t>
      </w:r>
      <w:r w:rsidRPr="00D0560D">
        <w:rPr>
          <w:rFonts w:ascii="Arial" w:hAnsi="Arial" w:cs="Arial"/>
          <w:sz w:val="24"/>
          <w:szCs w:val="24"/>
        </w:rPr>
        <w:t>[3]</w:t>
      </w:r>
    </w:p>
    <w:p w14:paraId="6CE4660B" w14:textId="77777777" w:rsidR="00D0560D" w:rsidRPr="00D0560D" w:rsidRDefault="00D0560D" w:rsidP="00D0560D">
      <w:pPr>
        <w:spacing w:after="0" w:line="240" w:lineRule="auto"/>
        <w:jc w:val="both"/>
        <w:rPr>
          <w:rFonts w:ascii="Arial" w:hAnsi="Arial" w:cs="Arial"/>
          <w:sz w:val="24"/>
          <w:szCs w:val="24"/>
        </w:rPr>
      </w:pPr>
    </w:p>
    <w:p w14:paraId="112BAA03" w14:textId="05310DFD" w:rsidR="00D0560D" w:rsidRPr="00FD0185" w:rsidRDefault="00D0560D" w:rsidP="00D0560D">
      <w:pPr>
        <w:spacing w:after="0" w:line="240" w:lineRule="auto"/>
        <w:jc w:val="both"/>
        <w:rPr>
          <w:rFonts w:ascii="Arial" w:hAnsi="Arial" w:cs="Arial"/>
          <w:sz w:val="24"/>
          <w:szCs w:val="24"/>
          <w:highlight w:val="green"/>
        </w:rPr>
      </w:pPr>
      <w:r w:rsidRPr="00FD0185">
        <w:rPr>
          <w:rFonts w:ascii="Arial" w:hAnsi="Arial" w:cs="Arial"/>
          <w:sz w:val="24"/>
          <w:szCs w:val="24"/>
          <w:highlight w:val="green"/>
        </w:rPr>
        <w:t>(d)(</w:t>
      </w:r>
      <w:proofErr w:type="spellStart"/>
      <w:r w:rsidRPr="00FD0185">
        <w:rPr>
          <w:rFonts w:ascii="Arial" w:hAnsi="Arial" w:cs="Arial"/>
          <w:sz w:val="24"/>
          <w:szCs w:val="24"/>
          <w:highlight w:val="green"/>
        </w:rPr>
        <w:t>i</w:t>
      </w:r>
      <w:proofErr w:type="spellEnd"/>
      <w:r w:rsidRPr="00FD0185">
        <w:rPr>
          <w:rFonts w:ascii="Arial" w:hAnsi="Arial" w:cs="Arial"/>
          <w:sz w:val="24"/>
          <w:szCs w:val="24"/>
          <w:highlight w:val="green"/>
        </w:rPr>
        <w:t>) How does the value of the Singapore dollar in 2016 compare to its value in 2013? [1]</w:t>
      </w:r>
    </w:p>
    <w:p w14:paraId="70D64EA8" w14:textId="2B822A8D" w:rsidR="00D0560D" w:rsidRPr="00D0560D" w:rsidRDefault="00D0560D" w:rsidP="00D0560D">
      <w:pPr>
        <w:spacing w:after="0" w:line="240" w:lineRule="auto"/>
        <w:jc w:val="both"/>
        <w:rPr>
          <w:rFonts w:ascii="Arial" w:hAnsi="Arial" w:cs="Arial"/>
          <w:sz w:val="24"/>
          <w:szCs w:val="24"/>
        </w:rPr>
      </w:pPr>
      <w:r w:rsidRPr="00FD0185">
        <w:rPr>
          <w:rFonts w:ascii="Arial" w:hAnsi="Arial" w:cs="Arial"/>
          <w:sz w:val="24"/>
          <w:szCs w:val="24"/>
          <w:highlight w:val="green"/>
        </w:rPr>
        <w:t>(ii) Suppose that deflation takes root in Singapore. Discuss the merits of managing the problem by depreciation, rather than using interest rates.</w:t>
      </w:r>
      <w:r w:rsidRPr="00D0560D">
        <w:rPr>
          <w:rFonts w:ascii="Arial" w:hAnsi="Arial" w:cs="Arial"/>
          <w:sz w:val="24"/>
          <w:szCs w:val="24"/>
        </w:rPr>
        <w:tab/>
        <w:t>[8]</w:t>
      </w:r>
    </w:p>
    <w:p w14:paraId="689466E9" w14:textId="77777777" w:rsidR="00D0560D" w:rsidRPr="00D0560D" w:rsidRDefault="00D0560D" w:rsidP="00D0560D">
      <w:pPr>
        <w:spacing w:after="0" w:line="240" w:lineRule="auto"/>
        <w:jc w:val="both"/>
        <w:rPr>
          <w:rFonts w:ascii="Arial" w:hAnsi="Arial" w:cs="Arial"/>
          <w:sz w:val="24"/>
          <w:szCs w:val="24"/>
        </w:rPr>
      </w:pPr>
    </w:p>
    <w:p w14:paraId="203CD76E" w14:textId="7F47EDDB" w:rsidR="00D0560D" w:rsidRPr="006B18D6" w:rsidRDefault="00D0560D" w:rsidP="00D0560D">
      <w:pPr>
        <w:spacing w:after="0" w:line="240" w:lineRule="auto"/>
        <w:jc w:val="both"/>
        <w:rPr>
          <w:rFonts w:ascii="Arial" w:hAnsi="Arial" w:cs="Arial"/>
          <w:sz w:val="24"/>
          <w:szCs w:val="24"/>
          <w:highlight w:val="yellow"/>
        </w:rPr>
      </w:pPr>
      <w:r w:rsidRPr="006B18D6">
        <w:rPr>
          <w:rFonts w:ascii="Arial" w:hAnsi="Arial" w:cs="Arial"/>
          <w:sz w:val="24"/>
          <w:szCs w:val="24"/>
          <w:highlight w:val="yellow"/>
        </w:rPr>
        <w:t>(e) Discuss the reasons why the Singapore government seeks to achieve innovation-driven and inclusive growth. [7]</w:t>
      </w:r>
    </w:p>
    <w:p w14:paraId="5921682F" w14:textId="77777777" w:rsidR="00D0560D" w:rsidRPr="006B18D6" w:rsidRDefault="00D0560D" w:rsidP="00D0560D">
      <w:pPr>
        <w:spacing w:after="0" w:line="240" w:lineRule="auto"/>
        <w:jc w:val="both"/>
        <w:rPr>
          <w:rFonts w:ascii="Arial" w:hAnsi="Arial" w:cs="Arial"/>
          <w:sz w:val="24"/>
          <w:szCs w:val="24"/>
          <w:highlight w:val="yellow"/>
        </w:rPr>
      </w:pPr>
    </w:p>
    <w:p w14:paraId="71A6A904" w14:textId="7BF5D995" w:rsidR="00D0560D" w:rsidRDefault="00D0560D" w:rsidP="00D0560D">
      <w:pPr>
        <w:spacing w:after="0" w:line="240" w:lineRule="auto"/>
        <w:jc w:val="both"/>
        <w:rPr>
          <w:rFonts w:ascii="Arial" w:hAnsi="Arial" w:cs="Arial"/>
          <w:sz w:val="24"/>
          <w:szCs w:val="24"/>
          <w:highlight w:val="yellow"/>
        </w:rPr>
      </w:pPr>
      <w:r w:rsidRPr="006B18D6">
        <w:rPr>
          <w:rFonts w:ascii="Arial" w:hAnsi="Arial" w:cs="Arial"/>
          <w:sz w:val="24"/>
          <w:szCs w:val="24"/>
          <w:highlight w:val="yellow"/>
        </w:rPr>
        <w:t xml:space="preserve">(f) Using the extract and/or your own knowledge, discuss the effectiveness of achieving inclusive growth in Singapore </w:t>
      </w:r>
      <w:proofErr w:type="gramStart"/>
      <w:r w:rsidRPr="006B18D6">
        <w:rPr>
          <w:rFonts w:ascii="Arial" w:hAnsi="Arial" w:cs="Arial"/>
          <w:sz w:val="24"/>
          <w:szCs w:val="24"/>
          <w:highlight w:val="yellow"/>
        </w:rPr>
        <w:t>through the use of</w:t>
      </w:r>
      <w:proofErr w:type="gramEnd"/>
      <w:r w:rsidRPr="006B18D6">
        <w:rPr>
          <w:rFonts w:ascii="Arial" w:hAnsi="Arial" w:cs="Arial"/>
          <w:sz w:val="24"/>
          <w:szCs w:val="24"/>
          <w:highlight w:val="yellow"/>
        </w:rPr>
        <w:t xml:space="preserve"> fiscal policy and supply side policies.</w:t>
      </w:r>
      <w:r w:rsidRPr="006B18D6">
        <w:rPr>
          <w:rFonts w:ascii="Arial" w:hAnsi="Arial" w:cs="Arial"/>
          <w:sz w:val="24"/>
          <w:szCs w:val="24"/>
          <w:highlight w:val="yellow"/>
        </w:rPr>
        <w:tab/>
        <w:t>[12]</w:t>
      </w:r>
    </w:p>
    <w:p w14:paraId="21A92FA1" w14:textId="1113A8DC" w:rsidR="007E7717" w:rsidRDefault="007E7717" w:rsidP="00D0560D">
      <w:pPr>
        <w:spacing w:after="0" w:line="240" w:lineRule="auto"/>
        <w:jc w:val="both"/>
        <w:rPr>
          <w:rFonts w:ascii="Arial" w:hAnsi="Arial" w:cs="Arial"/>
          <w:sz w:val="24"/>
          <w:szCs w:val="24"/>
        </w:rPr>
      </w:pPr>
    </w:p>
    <w:p w14:paraId="3A41BFC3" w14:textId="77777777" w:rsidR="00EF427F" w:rsidRPr="00D0560D" w:rsidRDefault="00EF427F" w:rsidP="00D0560D">
      <w:pPr>
        <w:spacing w:after="0" w:line="240" w:lineRule="auto"/>
        <w:jc w:val="both"/>
        <w:rPr>
          <w:rFonts w:ascii="Arial" w:hAnsi="Arial" w:cs="Arial"/>
          <w:sz w:val="24"/>
          <w:szCs w:val="24"/>
        </w:rPr>
      </w:pPr>
    </w:p>
    <w:p w14:paraId="24248E24" w14:textId="77777777" w:rsidR="00D0560D" w:rsidRDefault="00D0560D" w:rsidP="00D0560D">
      <w:pPr>
        <w:spacing w:after="0" w:line="240" w:lineRule="auto"/>
        <w:jc w:val="both"/>
        <w:rPr>
          <w:rFonts w:ascii="Arial" w:hAnsi="Arial" w:cs="Arial"/>
          <w:sz w:val="24"/>
          <w:szCs w:val="24"/>
        </w:rPr>
      </w:pPr>
    </w:p>
    <w:p w14:paraId="14ED9024" w14:textId="296DC02A" w:rsidR="00DC3175" w:rsidRDefault="00D0560D" w:rsidP="00D0560D">
      <w:pPr>
        <w:spacing w:after="0" w:line="240" w:lineRule="auto"/>
        <w:jc w:val="right"/>
        <w:rPr>
          <w:rFonts w:ascii="Arial" w:hAnsi="Arial" w:cs="Arial"/>
          <w:sz w:val="24"/>
          <w:szCs w:val="24"/>
        </w:rPr>
      </w:pPr>
      <w:r w:rsidRPr="00D0560D">
        <w:rPr>
          <w:rFonts w:ascii="Arial" w:hAnsi="Arial" w:cs="Arial"/>
          <w:sz w:val="24"/>
          <w:szCs w:val="24"/>
        </w:rPr>
        <w:t>[Total: 45]</w:t>
      </w:r>
    </w:p>
    <w:p w14:paraId="7271D0DD" w14:textId="1366A4AD" w:rsidR="00D0560D" w:rsidRDefault="00D0560D" w:rsidP="00D0560D">
      <w:pPr>
        <w:spacing w:after="0" w:line="240" w:lineRule="auto"/>
        <w:jc w:val="both"/>
        <w:rPr>
          <w:rFonts w:ascii="Arial" w:hAnsi="Arial" w:cs="Arial"/>
          <w:sz w:val="24"/>
          <w:szCs w:val="24"/>
        </w:rPr>
      </w:pPr>
    </w:p>
    <w:p w14:paraId="63C83406" w14:textId="77777777" w:rsidR="00D0560D" w:rsidRPr="00D0560D" w:rsidRDefault="00D0560D" w:rsidP="00D0560D">
      <w:pPr>
        <w:spacing w:after="0" w:line="240" w:lineRule="auto"/>
        <w:jc w:val="both"/>
        <w:rPr>
          <w:rFonts w:ascii="Arial" w:hAnsi="Arial" w:cs="Arial"/>
          <w:sz w:val="24"/>
          <w:szCs w:val="24"/>
        </w:rPr>
      </w:pPr>
    </w:p>
    <w:p w14:paraId="32A9C9D5" w14:textId="77777777" w:rsidR="00BE287A" w:rsidRPr="00BE287A" w:rsidRDefault="00BE287A">
      <w:pPr>
        <w:rPr>
          <w:rFonts w:ascii="Arial" w:hAnsi="Arial" w:cs="Arial"/>
          <w:b/>
          <w:sz w:val="24"/>
          <w:szCs w:val="24"/>
        </w:rPr>
      </w:pPr>
      <w:r w:rsidRPr="00BE287A">
        <w:rPr>
          <w:rFonts w:ascii="Arial" w:hAnsi="Arial" w:cs="Arial"/>
          <w:b/>
          <w:sz w:val="24"/>
          <w:szCs w:val="24"/>
        </w:rPr>
        <w:br w:type="page"/>
      </w:r>
    </w:p>
    <w:p w14:paraId="750AE67C" w14:textId="44656830" w:rsidR="00932764" w:rsidRPr="003C1936" w:rsidRDefault="00932764" w:rsidP="003C1936">
      <w:pPr>
        <w:spacing w:after="0" w:line="240" w:lineRule="auto"/>
        <w:jc w:val="both"/>
        <w:outlineLvl w:val="0"/>
        <w:rPr>
          <w:rFonts w:ascii="Arial" w:eastAsia="Times New Roman" w:hAnsi="Arial" w:cs="Arial"/>
          <w:b/>
          <w:bCs/>
          <w:kern w:val="36"/>
          <w:sz w:val="24"/>
          <w:szCs w:val="24"/>
        </w:rPr>
      </w:pPr>
    </w:p>
    <w:sectPr w:rsidR="00932764" w:rsidRPr="003C19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 Ng" w:date="2019-06-23T15:50:00Z" w:initials="SN">
    <w:p w14:paraId="422CE100" w14:textId="77777777" w:rsidR="0047237A" w:rsidRDefault="0047237A">
      <w:pPr>
        <w:pStyle w:val="CommentText"/>
      </w:pPr>
      <w:r>
        <w:rPr>
          <w:rStyle w:val="CommentReference"/>
        </w:rPr>
        <w:annotationRef/>
      </w:r>
      <w:r>
        <w:t>Why Gini coefficient ratio is decreasing?</w:t>
      </w:r>
    </w:p>
    <w:p w14:paraId="622F48E7" w14:textId="6DB3A3F4" w:rsidR="0047237A" w:rsidRDefault="0047237A">
      <w:pPr>
        <w:pStyle w:val="CommentText"/>
      </w:pPr>
      <w:r>
        <w:t>Lower income group has increased their income or higher income group decreases their income</w:t>
      </w:r>
    </w:p>
  </w:comment>
  <w:comment w:id="1" w:author="Simon Ng" w:date="2019-06-23T15:53:00Z" w:initials="SN">
    <w:p w14:paraId="1FA5BAE2" w14:textId="2B463308" w:rsidR="0047237A" w:rsidRDefault="0047237A">
      <w:pPr>
        <w:pStyle w:val="CommentText"/>
      </w:pPr>
      <w:r>
        <w:rPr>
          <w:rStyle w:val="CommentReference"/>
        </w:rPr>
        <w:annotationRef/>
      </w:r>
      <w:r>
        <w:t>Recession – lower production – due to lower domestic demand</w:t>
      </w:r>
    </w:p>
  </w:comment>
  <w:comment w:id="2" w:author="Simon Ng" w:date="2019-06-23T15:54:00Z" w:initials="SN">
    <w:p w14:paraId="7059C0D0" w14:textId="77777777" w:rsidR="0047237A" w:rsidRDefault="0047237A">
      <w:pPr>
        <w:pStyle w:val="CommentText"/>
      </w:pPr>
      <w:r>
        <w:rPr>
          <w:rStyle w:val="CommentReference"/>
        </w:rPr>
        <w:annotationRef/>
      </w:r>
      <w:r>
        <w:t>Major items in the basket of goods</w:t>
      </w:r>
    </w:p>
    <w:p w14:paraId="4CB87162" w14:textId="6F92DDF4" w:rsidR="0047237A" w:rsidRDefault="0047237A">
      <w:pPr>
        <w:pStyle w:val="CommentText"/>
      </w:pPr>
    </w:p>
  </w:comment>
  <w:comment w:id="3" w:author="Simon Ng" w:date="2019-06-23T15:56:00Z" w:initials="SN">
    <w:p w14:paraId="59D71ECB" w14:textId="4D160B54" w:rsidR="0047237A" w:rsidRDefault="0047237A">
      <w:pPr>
        <w:pStyle w:val="CommentText"/>
      </w:pPr>
      <w:r>
        <w:rPr>
          <w:rStyle w:val="CommentReference"/>
        </w:rPr>
        <w:annotationRef/>
      </w:r>
      <w:r>
        <w:t>Deflation is the result of lower AD.</w:t>
      </w:r>
    </w:p>
  </w:comment>
  <w:comment w:id="5" w:author="Simon Ng" w:date="2019-06-23T15:56:00Z" w:initials="SN">
    <w:p w14:paraId="61BD7160" w14:textId="3BB3643D" w:rsidR="0047237A" w:rsidRDefault="0047237A">
      <w:pPr>
        <w:pStyle w:val="CommentText"/>
      </w:pPr>
      <w:r>
        <w:rPr>
          <w:rStyle w:val="CommentReference"/>
        </w:rPr>
        <w:annotationRef/>
      </w:r>
    </w:p>
  </w:comment>
  <w:comment w:id="4" w:author="Simon Ng" w:date="2019-06-23T15:59:00Z" w:initials="SN">
    <w:p w14:paraId="6CBF7C58" w14:textId="260A2D58" w:rsidR="00286989" w:rsidRDefault="00286989">
      <w:pPr>
        <w:pStyle w:val="CommentText"/>
      </w:pPr>
      <w:r>
        <w:rPr>
          <w:rStyle w:val="CommentReference"/>
        </w:rPr>
        <w:annotationRef/>
      </w:r>
      <w:r>
        <w:t>Why SG will use exchange rate to control inflation and not interest rate?</w:t>
      </w:r>
      <w:r>
        <w:br/>
        <w:t>1. Interest rate taker</w:t>
      </w:r>
      <w:r>
        <w:br/>
        <w:t>2. wealth management ctr – keep exchange rate high – encourage saving into the country</w:t>
      </w:r>
      <w:r>
        <w:br/>
        <w:t>3. Control imported inflation</w:t>
      </w:r>
      <w:r>
        <w:br/>
      </w:r>
    </w:p>
  </w:comment>
  <w:comment w:id="6" w:author="Simon Ng" w:date="2019-06-23T16:03:00Z" w:initials="SN">
    <w:p w14:paraId="2E446A8D" w14:textId="77777777" w:rsidR="00286989" w:rsidRDefault="00286989">
      <w:pPr>
        <w:pStyle w:val="CommentText"/>
      </w:pPr>
      <w:r>
        <w:rPr>
          <w:rStyle w:val="CommentReference"/>
        </w:rPr>
        <w:annotationRef/>
      </w:r>
      <w:r>
        <w:t>Features – spread the benefits of growth to more segments of the population</w:t>
      </w:r>
    </w:p>
    <w:p w14:paraId="2A6F5D5B" w14:textId="43EDD4FE" w:rsidR="00286989" w:rsidRDefault="00286989" w:rsidP="00286989">
      <w:pPr>
        <w:pStyle w:val="CommentText"/>
      </w:pPr>
      <w:r>
        <w:t>1. to ensure employment – this is done by skills upgrading – raise wage for the workers</w:t>
      </w:r>
      <w:r>
        <w:br/>
        <w:t>2. Reduce income equality – tax and government transfer</w:t>
      </w:r>
    </w:p>
    <w:p w14:paraId="6F7A570B" w14:textId="2EC1DDB2" w:rsidR="00286989" w:rsidRDefault="00286989" w:rsidP="00286989">
      <w:pPr>
        <w:pStyle w:val="CommentText"/>
      </w:pPr>
      <w:r>
        <w:t>3. Provision of welfare to the people – public and merit goods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F48E7" w15:done="0"/>
  <w15:commentEx w15:paraId="1FA5BAE2" w15:done="0"/>
  <w15:commentEx w15:paraId="4CB87162" w15:done="0"/>
  <w15:commentEx w15:paraId="59D71ECB" w15:done="0"/>
  <w15:commentEx w15:paraId="61BD7160" w15:done="0"/>
  <w15:commentEx w15:paraId="6CBF7C58" w15:done="0"/>
  <w15:commentEx w15:paraId="6F7A57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48E7" w16cid:durableId="20BA1E43"/>
  <w16cid:commentId w16cid:paraId="1FA5BAE2" w16cid:durableId="20BA1EF9"/>
  <w16cid:commentId w16cid:paraId="4CB87162" w16cid:durableId="20BA1F52"/>
  <w16cid:commentId w16cid:paraId="59D71ECB" w16cid:durableId="20BA1F9D"/>
  <w16cid:commentId w16cid:paraId="61BD7160" w16cid:durableId="20BA1FC1"/>
  <w16cid:commentId w16cid:paraId="6CBF7C58" w16cid:durableId="20BA206A"/>
  <w16cid:commentId w16cid:paraId="6F7A570B" w16cid:durableId="20BA21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734"/>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8611355"/>
    <w:multiLevelType w:val="hybridMultilevel"/>
    <w:tmpl w:val="BE9A8E54"/>
    <w:lvl w:ilvl="0" w:tplc="469AF346">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7FA08B5"/>
    <w:multiLevelType w:val="hybridMultilevel"/>
    <w:tmpl w:val="3C4A6810"/>
    <w:lvl w:ilvl="0" w:tplc="0D0ABAAE">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204A6ABD"/>
    <w:multiLevelType w:val="hybridMultilevel"/>
    <w:tmpl w:val="4C4A3DAE"/>
    <w:lvl w:ilvl="0" w:tplc="987C656C">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CAE3CC1"/>
    <w:multiLevelType w:val="hybridMultilevel"/>
    <w:tmpl w:val="1466F5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F742165"/>
    <w:multiLevelType w:val="hybridMultilevel"/>
    <w:tmpl w:val="A95E0A6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33655CD1"/>
    <w:multiLevelType w:val="hybridMultilevel"/>
    <w:tmpl w:val="C3925448"/>
    <w:lvl w:ilvl="0" w:tplc="23D282E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E8251F2"/>
    <w:multiLevelType w:val="hybridMultilevel"/>
    <w:tmpl w:val="1A6C031E"/>
    <w:lvl w:ilvl="0" w:tplc="5EE61528">
      <w:start w:val="3"/>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5CE4736A"/>
    <w:multiLevelType w:val="hybridMultilevel"/>
    <w:tmpl w:val="0016BA24"/>
    <w:lvl w:ilvl="0" w:tplc="0A641B20">
      <w:start w:val="3"/>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5F256B13"/>
    <w:multiLevelType w:val="hybridMultilevel"/>
    <w:tmpl w:val="2E6E7F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68320563"/>
    <w:multiLevelType w:val="hybridMultilevel"/>
    <w:tmpl w:val="97F4EA7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7A2C4DD7"/>
    <w:multiLevelType w:val="hybridMultilevel"/>
    <w:tmpl w:val="7CECC8CE"/>
    <w:lvl w:ilvl="0" w:tplc="469AF346">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BED09C2"/>
    <w:multiLevelType w:val="hybridMultilevel"/>
    <w:tmpl w:val="D7B6F7EA"/>
    <w:lvl w:ilvl="0" w:tplc="EB8C10E8">
      <w:start w:val="4"/>
      <w:numFmt w:val="bullet"/>
      <w:lvlText w:val=""/>
      <w:lvlJc w:val="left"/>
      <w:pPr>
        <w:ind w:left="720" w:hanging="360"/>
      </w:pPr>
      <w:rPr>
        <w:rFonts w:ascii="Symbol" w:eastAsiaTheme="minorEastAsia"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9"/>
  </w:num>
  <w:num w:numId="5">
    <w:abstractNumId w:val="10"/>
  </w:num>
  <w:num w:numId="6">
    <w:abstractNumId w:val="4"/>
  </w:num>
  <w:num w:numId="7">
    <w:abstractNumId w:val="11"/>
  </w:num>
  <w:num w:numId="8">
    <w:abstractNumId w:val="2"/>
  </w:num>
  <w:num w:numId="9">
    <w:abstractNumId w:val="12"/>
  </w:num>
  <w:num w:numId="10">
    <w:abstractNumId w:val="1"/>
  </w:num>
  <w:num w:numId="11">
    <w:abstractNumId w:val="3"/>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13"/>
    <w:rsid w:val="0002480A"/>
    <w:rsid w:val="000815FB"/>
    <w:rsid w:val="000C3E58"/>
    <w:rsid w:val="000C5490"/>
    <w:rsid w:val="00141C2D"/>
    <w:rsid w:val="00190A8F"/>
    <w:rsid w:val="002150E7"/>
    <w:rsid w:val="00286989"/>
    <w:rsid w:val="002D6FCC"/>
    <w:rsid w:val="002D723B"/>
    <w:rsid w:val="00347426"/>
    <w:rsid w:val="00393008"/>
    <w:rsid w:val="003A53B8"/>
    <w:rsid w:val="003C1936"/>
    <w:rsid w:val="0047237A"/>
    <w:rsid w:val="004B04DE"/>
    <w:rsid w:val="004C2413"/>
    <w:rsid w:val="00526827"/>
    <w:rsid w:val="005405C2"/>
    <w:rsid w:val="005C19E3"/>
    <w:rsid w:val="005D5DB4"/>
    <w:rsid w:val="005E73B2"/>
    <w:rsid w:val="00632708"/>
    <w:rsid w:val="00692C6B"/>
    <w:rsid w:val="006B18D6"/>
    <w:rsid w:val="006E6A1D"/>
    <w:rsid w:val="007832BC"/>
    <w:rsid w:val="007D4B1E"/>
    <w:rsid w:val="007E7717"/>
    <w:rsid w:val="007F67AF"/>
    <w:rsid w:val="00831FF1"/>
    <w:rsid w:val="00862ED7"/>
    <w:rsid w:val="008B0387"/>
    <w:rsid w:val="00932764"/>
    <w:rsid w:val="0096203A"/>
    <w:rsid w:val="009D7816"/>
    <w:rsid w:val="00A16250"/>
    <w:rsid w:val="00A671AE"/>
    <w:rsid w:val="00AF5720"/>
    <w:rsid w:val="00BE287A"/>
    <w:rsid w:val="00C14309"/>
    <w:rsid w:val="00D0560D"/>
    <w:rsid w:val="00D3771F"/>
    <w:rsid w:val="00DC3175"/>
    <w:rsid w:val="00EF427F"/>
    <w:rsid w:val="00FD018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A187"/>
  <w15:chartTrackingRefBased/>
  <w15:docId w15:val="{25C1AAFC-56CE-49DF-AD05-ED8EA65E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720"/>
    <w:pPr>
      <w:ind w:left="720"/>
      <w:contextualSpacing/>
    </w:pPr>
  </w:style>
  <w:style w:type="paragraph" w:customStyle="1" w:styleId="TableParagraph">
    <w:name w:val="Table Paragraph"/>
    <w:basedOn w:val="Normal"/>
    <w:uiPriority w:val="1"/>
    <w:qFormat/>
    <w:rsid w:val="00BE287A"/>
    <w:pPr>
      <w:widowControl w:val="0"/>
      <w:autoSpaceDE w:val="0"/>
      <w:autoSpaceDN w:val="0"/>
      <w:spacing w:after="0" w:line="252" w:lineRule="exact"/>
      <w:ind w:left="351" w:right="344"/>
      <w:jc w:val="center"/>
    </w:pPr>
    <w:rPr>
      <w:rFonts w:ascii="Arial" w:eastAsia="Arial" w:hAnsi="Arial" w:cs="Arial"/>
      <w:lang w:val="en-US" w:eastAsia="en-US"/>
    </w:rPr>
  </w:style>
  <w:style w:type="paragraph" w:styleId="BalloonText">
    <w:name w:val="Balloon Text"/>
    <w:basedOn w:val="Normal"/>
    <w:link w:val="BalloonTextChar"/>
    <w:uiPriority w:val="99"/>
    <w:semiHidden/>
    <w:unhideWhenUsed/>
    <w:rsid w:val="006B1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D6"/>
    <w:rPr>
      <w:rFonts w:ascii="Segoe UI" w:hAnsi="Segoe UI" w:cs="Segoe UI"/>
      <w:sz w:val="18"/>
      <w:szCs w:val="18"/>
    </w:rPr>
  </w:style>
  <w:style w:type="character" w:styleId="CommentReference">
    <w:name w:val="annotation reference"/>
    <w:basedOn w:val="DefaultParagraphFont"/>
    <w:uiPriority w:val="99"/>
    <w:semiHidden/>
    <w:unhideWhenUsed/>
    <w:rsid w:val="0047237A"/>
    <w:rPr>
      <w:sz w:val="16"/>
      <w:szCs w:val="16"/>
    </w:rPr>
  </w:style>
  <w:style w:type="paragraph" w:styleId="CommentText">
    <w:name w:val="annotation text"/>
    <w:basedOn w:val="Normal"/>
    <w:link w:val="CommentTextChar"/>
    <w:uiPriority w:val="99"/>
    <w:semiHidden/>
    <w:unhideWhenUsed/>
    <w:rsid w:val="0047237A"/>
    <w:pPr>
      <w:spacing w:line="240" w:lineRule="auto"/>
    </w:pPr>
    <w:rPr>
      <w:sz w:val="20"/>
      <w:szCs w:val="20"/>
    </w:rPr>
  </w:style>
  <w:style w:type="character" w:customStyle="1" w:styleId="CommentTextChar">
    <w:name w:val="Comment Text Char"/>
    <w:basedOn w:val="DefaultParagraphFont"/>
    <w:link w:val="CommentText"/>
    <w:uiPriority w:val="99"/>
    <w:semiHidden/>
    <w:rsid w:val="0047237A"/>
    <w:rPr>
      <w:sz w:val="20"/>
      <w:szCs w:val="20"/>
    </w:rPr>
  </w:style>
  <w:style w:type="paragraph" w:styleId="CommentSubject">
    <w:name w:val="annotation subject"/>
    <w:basedOn w:val="CommentText"/>
    <w:next w:val="CommentText"/>
    <w:link w:val="CommentSubjectChar"/>
    <w:uiPriority w:val="99"/>
    <w:semiHidden/>
    <w:unhideWhenUsed/>
    <w:rsid w:val="0047237A"/>
    <w:rPr>
      <w:b/>
      <w:bCs/>
    </w:rPr>
  </w:style>
  <w:style w:type="character" w:customStyle="1" w:styleId="CommentSubjectChar">
    <w:name w:val="Comment Subject Char"/>
    <w:basedOn w:val="CommentTextChar"/>
    <w:link w:val="CommentSubject"/>
    <w:uiPriority w:val="99"/>
    <w:semiHidden/>
    <w:rsid w:val="00472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1180</Words>
  <Characters>6728</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Suggested Answers </vt:lpstr>
      <vt: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Ng Ren Xian</dc:creator>
  <cp:keywords/>
  <dc:description/>
  <cp:lastModifiedBy>simonngchinsun@gmail.com</cp:lastModifiedBy>
  <cp:revision>2</cp:revision>
  <cp:lastPrinted>2020-08-28T07:46:00Z</cp:lastPrinted>
  <dcterms:created xsi:type="dcterms:W3CDTF">2021-10-27T00:37:00Z</dcterms:created>
  <dcterms:modified xsi:type="dcterms:W3CDTF">2021-10-27T00:37:00Z</dcterms:modified>
</cp:coreProperties>
</file>