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9741" w14:textId="65EAE35C" w:rsidR="00813287" w:rsidRPr="00C11522" w:rsidRDefault="007B4EB6" w:rsidP="00813287">
      <w:pPr>
        <w:pStyle w:val="Title"/>
        <w:tabs>
          <w:tab w:val="left" w:pos="7226"/>
        </w:tabs>
        <w:spacing w:after="0"/>
        <w:jc w:val="both"/>
        <w:rPr>
          <w:rFonts w:ascii="Arial" w:hAnsi="Arial" w:cs="Arial"/>
          <w:color w:val="auto"/>
        </w:rPr>
      </w:pPr>
      <w:r>
        <w:rPr>
          <w:rFonts w:ascii="Arial" w:hAnsi="Arial" w:cs="Arial"/>
          <w:color w:val="auto"/>
        </w:rPr>
        <w:t>JC Economics Tuition</w:t>
      </w:r>
      <w:r w:rsidR="00813287" w:rsidRPr="00C11522">
        <w:rPr>
          <w:rFonts w:ascii="Arial" w:hAnsi="Arial" w:cs="Arial"/>
          <w:color w:val="auto"/>
        </w:rPr>
        <w:tab/>
      </w:r>
    </w:p>
    <w:p w14:paraId="5DA850F5" w14:textId="7CFAEE5D" w:rsidR="00813287" w:rsidRDefault="00813287" w:rsidP="00813287">
      <w:pPr>
        <w:contextualSpacing/>
        <w:jc w:val="both"/>
        <w:rPr>
          <w:rFonts w:ascii="Arial" w:hAnsi="Arial" w:cs="Arial"/>
          <w:b/>
          <w:sz w:val="28"/>
          <w:szCs w:val="28"/>
        </w:rPr>
      </w:pPr>
      <w:r>
        <w:rPr>
          <w:rFonts w:ascii="Arial" w:hAnsi="Arial" w:cs="Arial"/>
          <w:b/>
          <w:sz w:val="28"/>
          <w:szCs w:val="28"/>
        </w:rPr>
        <w:t xml:space="preserve">Unemployment – CSQ </w:t>
      </w:r>
    </w:p>
    <w:p w14:paraId="1D36B7A0" w14:textId="77777777" w:rsidR="00A2092C" w:rsidRDefault="00A2092C" w:rsidP="00813287">
      <w:pPr>
        <w:contextualSpacing/>
        <w:jc w:val="both"/>
        <w:rPr>
          <w:rFonts w:ascii="Arial" w:hAnsi="Arial" w:cs="Arial"/>
          <w:b/>
          <w:sz w:val="28"/>
          <w:szCs w:val="28"/>
        </w:rPr>
      </w:pPr>
    </w:p>
    <w:p w14:paraId="572F28D3" w14:textId="77777777" w:rsidR="00A2092C" w:rsidRPr="00A2092C" w:rsidRDefault="00A2092C" w:rsidP="00A2092C">
      <w:pPr>
        <w:jc w:val="center"/>
        <w:rPr>
          <w:rFonts w:ascii="Arial" w:hAnsi="Arial" w:cs="Arial"/>
          <w:b/>
          <w:bCs/>
        </w:rPr>
      </w:pPr>
      <w:r w:rsidRPr="00A2092C">
        <w:rPr>
          <w:rFonts w:ascii="Arial" w:hAnsi="Arial" w:cs="Arial"/>
          <w:b/>
          <w:bCs/>
        </w:rPr>
        <w:t>Challenging times ahead</w:t>
      </w:r>
    </w:p>
    <w:p w14:paraId="473E0D3B" w14:textId="77777777" w:rsidR="00A2092C" w:rsidRDefault="00A2092C" w:rsidP="00A2092C">
      <w:pPr>
        <w:pStyle w:val="Heading1"/>
        <w:shd w:val="clear" w:color="auto" w:fill="FFFFFF"/>
        <w:ind w:left="0"/>
        <w:jc w:val="both"/>
      </w:pPr>
    </w:p>
    <w:p w14:paraId="328E5D76" w14:textId="77777777" w:rsidR="00A2092C" w:rsidRPr="00A2092C" w:rsidRDefault="00A2092C" w:rsidP="00A2092C">
      <w:pPr>
        <w:pStyle w:val="Heading1"/>
        <w:shd w:val="clear" w:color="auto" w:fill="FFFFFF"/>
        <w:ind w:left="0"/>
        <w:jc w:val="both"/>
        <w:rPr>
          <w:u w:val="none"/>
        </w:rPr>
      </w:pPr>
      <w:r w:rsidRPr="00A2092C">
        <w:rPr>
          <w:u w:val="none"/>
        </w:rPr>
        <w:t>Extract 1: UK economic growth has slowed dramatically, latest survey suggests</w:t>
      </w:r>
    </w:p>
    <w:p w14:paraId="1AA44738" w14:textId="77777777" w:rsidR="00A2092C" w:rsidRDefault="00A2092C" w:rsidP="00A2092C">
      <w:pPr>
        <w:pStyle w:val="NormalWeb"/>
        <w:shd w:val="clear" w:color="auto" w:fill="FFFFFF"/>
        <w:spacing w:before="0" w:beforeAutospacing="0" w:after="0" w:afterAutospacing="0"/>
        <w:jc w:val="both"/>
        <w:rPr>
          <w:rFonts w:ascii="Arial" w:hAnsi="Arial" w:cs="Arial"/>
        </w:rPr>
      </w:pPr>
    </w:p>
    <w:p w14:paraId="2B4CF088"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Britain’s economy is losing momentum, knocked by weaker household spending and worries about the global outlook, according to the latest in a string of downbeat business surveys.</w:t>
      </w:r>
    </w:p>
    <w:p w14:paraId="41B46C4B"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1AB5FC0"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Business activity grew at the slowest pace for more than two years in Britain’s dominant services sector last month, according to the closely watched Markit CIPS PMI report. “Weakness is spreading from the struggling manufacturing sector, hitting transport and other industrial-related </w:t>
      </w:r>
      <w:proofErr w:type="gramStart"/>
      <w:r w:rsidRPr="00A2092C">
        <w:rPr>
          <w:rFonts w:ascii="Arial" w:hAnsi="Arial" w:cs="Arial"/>
        </w:rPr>
        <w:t>services in particular</w:t>
      </w:r>
      <w:proofErr w:type="gramEnd"/>
      <w:r w:rsidRPr="00A2092C">
        <w:rPr>
          <w:rFonts w:ascii="Arial" w:hAnsi="Arial" w:cs="Arial"/>
        </w:rPr>
        <w:t>. There are also signs that consumers have become more cautious and are pulling back on their leisure spending, such as on restaurants and hotels,” said Chris Williamson, chief economist at survey compilers Markit.</w:t>
      </w:r>
    </w:p>
    <w:p w14:paraId="66850EC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1995EEAC"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“Wider business service sector confidence has meanwhile also been knocked by global economic worries and financial market jitters.” The pound weakened against the euro and the dollar after the report, which economists saw as providing further reason for the Bank of England</w:t>
      </w:r>
      <w:r w:rsidRPr="00A2092C">
        <w:rPr>
          <w:rStyle w:val="Hyperlink"/>
          <w:rFonts w:ascii="Arial" w:hAnsi="Arial" w:cs="Arial"/>
        </w:rPr>
        <w:t xml:space="preserve"> </w:t>
      </w:r>
      <w:r w:rsidRPr="00A2092C">
        <w:rPr>
          <w:rFonts w:ascii="Arial" w:hAnsi="Arial" w:cs="Arial"/>
        </w:rPr>
        <w:t xml:space="preserve">to hold off raising interest rates from 0.5%. </w:t>
      </w:r>
    </w:p>
    <w:p w14:paraId="27F1FD4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098F2B06" w14:textId="77777777" w:rsidR="00A2092C" w:rsidRDefault="00A2092C" w:rsidP="00A2092C">
      <w:pPr>
        <w:jc w:val="right"/>
        <w:rPr>
          <w:rFonts w:ascii="Arial" w:hAnsi="Arial" w:cs="Arial"/>
        </w:rPr>
      </w:pPr>
      <w:r w:rsidRPr="00A2092C">
        <w:rPr>
          <w:rFonts w:ascii="Arial" w:hAnsi="Arial" w:cs="Arial"/>
        </w:rPr>
        <w:t>Source: The Guardian 5 October</w:t>
      </w:r>
      <w:r w:rsidRPr="00D63218">
        <w:rPr>
          <w:rFonts w:ascii="Arial" w:hAnsi="Arial" w:cs="Arial"/>
        </w:rPr>
        <w:t xml:space="preserve"> 2015</w:t>
      </w:r>
    </w:p>
    <w:p w14:paraId="5472338F" w14:textId="77777777" w:rsidR="00A2092C" w:rsidRPr="00D63218" w:rsidRDefault="00A2092C" w:rsidP="00A2092C">
      <w:pPr>
        <w:jc w:val="right"/>
        <w:rPr>
          <w:rFonts w:ascii="Arial" w:hAnsi="Arial" w:cs="Arial"/>
        </w:rPr>
      </w:pPr>
    </w:p>
    <w:p w14:paraId="3C30DF7F" w14:textId="77777777" w:rsidR="00A2092C" w:rsidRPr="00A2092C" w:rsidRDefault="00A2092C" w:rsidP="00A2092C">
      <w:pPr>
        <w:jc w:val="center"/>
        <w:rPr>
          <w:rFonts w:ascii="Arial" w:hAnsi="Arial" w:cs="Arial"/>
          <w:b/>
          <w:bCs/>
        </w:rPr>
      </w:pPr>
      <w:r w:rsidRPr="00103B6F">
        <w:rPr>
          <w:rFonts w:ascii="Arial" w:hAnsi="Arial" w:cs="Arial"/>
          <w:b/>
          <w:bCs/>
        </w:rPr>
        <w:t>Table 1: Key Economic Indicators</w:t>
      </w:r>
      <w:r>
        <w:rPr>
          <w:rFonts w:ascii="Arial" w:hAnsi="Arial" w:cs="Arial"/>
          <w:b/>
          <w:bCs/>
        </w:rPr>
        <w:t xml:space="preserve"> in 2015</w:t>
      </w:r>
    </w:p>
    <w:tbl>
      <w:tblPr>
        <w:tblStyle w:val="TableGrid"/>
        <w:tblW w:w="0" w:type="auto"/>
        <w:tblLook w:val="04A0" w:firstRow="1" w:lastRow="0" w:firstColumn="1" w:lastColumn="0" w:noHBand="0" w:noVBand="1"/>
      </w:tblPr>
      <w:tblGrid>
        <w:gridCol w:w="2733"/>
        <w:gridCol w:w="2087"/>
        <w:gridCol w:w="2088"/>
        <w:gridCol w:w="2108"/>
      </w:tblGrid>
      <w:tr w:rsidR="00A2092C" w:rsidRPr="00230DA6" w14:paraId="56CAE618" w14:textId="77777777" w:rsidTr="00A2092C">
        <w:tc>
          <w:tcPr>
            <w:tcW w:w="2802" w:type="dxa"/>
            <w:shd w:val="clear" w:color="auto" w:fill="E7E6E6" w:themeFill="background2"/>
          </w:tcPr>
          <w:p w14:paraId="39FAF037" w14:textId="77777777" w:rsidR="00A2092C" w:rsidRPr="00230DA6" w:rsidRDefault="00A2092C" w:rsidP="00193BE0">
            <w:pPr>
              <w:spacing w:before="40" w:after="40"/>
              <w:jc w:val="both"/>
              <w:rPr>
                <w:rFonts w:ascii="Arial" w:hAnsi="Arial" w:cs="Arial"/>
                <w:b/>
                <w:bCs/>
                <w:sz w:val="22"/>
                <w:szCs w:val="22"/>
              </w:rPr>
            </w:pPr>
            <w:r>
              <w:rPr>
                <w:rFonts w:ascii="Arial" w:hAnsi="Arial" w:cs="Arial"/>
                <w:b/>
                <w:bCs/>
                <w:sz w:val="22"/>
                <w:szCs w:val="22"/>
              </w:rPr>
              <w:t>Indicators</w:t>
            </w:r>
          </w:p>
        </w:tc>
        <w:tc>
          <w:tcPr>
            <w:tcW w:w="2146" w:type="dxa"/>
            <w:shd w:val="clear" w:color="auto" w:fill="E7E6E6" w:themeFill="background2"/>
          </w:tcPr>
          <w:p w14:paraId="6ADE4917"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UK</w:t>
            </w:r>
          </w:p>
        </w:tc>
        <w:tc>
          <w:tcPr>
            <w:tcW w:w="2147" w:type="dxa"/>
            <w:shd w:val="clear" w:color="auto" w:fill="E7E6E6" w:themeFill="background2"/>
          </w:tcPr>
          <w:p w14:paraId="6CA6F2C3"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China</w:t>
            </w:r>
          </w:p>
        </w:tc>
        <w:tc>
          <w:tcPr>
            <w:tcW w:w="2147" w:type="dxa"/>
            <w:shd w:val="clear" w:color="auto" w:fill="E7E6E6" w:themeFill="background2"/>
          </w:tcPr>
          <w:p w14:paraId="5BBC02F9"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Singapore</w:t>
            </w:r>
          </w:p>
        </w:tc>
      </w:tr>
      <w:tr w:rsidR="00A2092C" w14:paraId="7817651E" w14:textId="77777777" w:rsidTr="00193BE0">
        <w:tc>
          <w:tcPr>
            <w:tcW w:w="2802" w:type="dxa"/>
          </w:tcPr>
          <w:p w14:paraId="40EA062D" w14:textId="77777777" w:rsidR="00A2092C" w:rsidRPr="00230DA6" w:rsidRDefault="00A2092C" w:rsidP="00193BE0">
            <w:pPr>
              <w:spacing w:before="40" w:after="40"/>
              <w:jc w:val="both"/>
              <w:rPr>
                <w:rFonts w:ascii="Arial" w:hAnsi="Arial" w:cs="Arial"/>
                <w:sz w:val="22"/>
                <w:szCs w:val="22"/>
              </w:rPr>
            </w:pPr>
            <w:r>
              <w:rPr>
                <w:rFonts w:ascii="Arial" w:hAnsi="Arial" w:cs="Arial"/>
                <w:sz w:val="22"/>
                <w:szCs w:val="22"/>
              </w:rPr>
              <w:t xml:space="preserve">Nominal </w:t>
            </w:r>
            <w:r w:rsidRPr="00230DA6">
              <w:rPr>
                <w:rFonts w:ascii="Arial" w:hAnsi="Arial" w:cs="Arial"/>
                <w:sz w:val="22"/>
                <w:szCs w:val="22"/>
              </w:rPr>
              <w:t>GDP growth (annual %)</w:t>
            </w:r>
          </w:p>
        </w:tc>
        <w:tc>
          <w:tcPr>
            <w:tcW w:w="2146" w:type="dxa"/>
          </w:tcPr>
          <w:p w14:paraId="6CFBD5E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2.2</w:t>
            </w:r>
          </w:p>
        </w:tc>
        <w:tc>
          <w:tcPr>
            <w:tcW w:w="2147" w:type="dxa"/>
          </w:tcPr>
          <w:p w14:paraId="144A95F4" w14:textId="77777777" w:rsidR="00A2092C" w:rsidRDefault="00A2092C" w:rsidP="00193BE0">
            <w:pPr>
              <w:spacing w:before="40" w:after="40"/>
              <w:jc w:val="center"/>
              <w:rPr>
                <w:rFonts w:ascii="Arial" w:hAnsi="Arial" w:cs="Arial"/>
                <w:sz w:val="22"/>
                <w:szCs w:val="22"/>
              </w:rPr>
            </w:pPr>
            <w:r>
              <w:rPr>
                <w:rFonts w:ascii="Arial" w:hAnsi="Arial" w:cs="Arial"/>
                <w:sz w:val="22"/>
                <w:szCs w:val="22"/>
              </w:rPr>
              <w:t>6.9</w:t>
            </w:r>
          </w:p>
        </w:tc>
        <w:tc>
          <w:tcPr>
            <w:tcW w:w="2147" w:type="dxa"/>
          </w:tcPr>
          <w:p w14:paraId="0C67759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1.9</w:t>
            </w:r>
          </w:p>
        </w:tc>
      </w:tr>
      <w:tr w:rsidR="00A2092C" w14:paraId="1DCBBA5C" w14:textId="77777777" w:rsidTr="00193BE0">
        <w:tc>
          <w:tcPr>
            <w:tcW w:w="2802" w:type="dxa"/>
          </w:tcPr>
          <w:p w14:paraId="348F1760"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Inflation rate</w:t>
            </w:r>
          </w:p>
        </w:tc>
        <w:tc>
          <w:tcPr>
            <w:tcW w:w="2146" w:type="dxa"/>
          </w:tcPr>
          <w:p w14:paraId="708091D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0.05</w:t>
            </w:r>
          </w:p>
        </w:tc>
        <w:tc>
          <w:tcPr>
            <w:tcW w:w="2147" w:type="dxa"/>
          </w:tcPr>
          <w:p w14:paraId="0F68E33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1.4</w:t>
            </w:r>
          </w:p>
        </w:tc>
        <w:tc>
          <w:tcPr>
            <w:tcW w:w="2147" w:type="dxa"/>
          </w:tcPr>
          <w:p w14:paraId="45E28316" w14:textId="77777777" w:rsidR="00A2092C" w:rsidRDefault="00A2092C" w:rsidP="00193BE0">
            <w:pPr>
              <w:spacing w:before="40" w:after="40"/>
              <w:jc w:val="center"/>
              <w:rPr>
                <w:rFonts w:ascii="Arial" w:hAnsi="Arial" w:cs="Arial"/>
                <w:sz w:val="22"/>
                <w:szCs w:val="22"/>
              </w:rPr>
            </w:pPr>
            <w:r>
              <w:rPr>
                <w:rFonts w:ascii="Arial" w:hAnsi="Arial" w:cs="Arial"/>
                <w:sz w:val="22"/>
                <w:szCs w:val="22"/>
              </w:rPr>
              <w:t>-0.5</w:t>
            </w:r>
          </w:p>
        </w:tc>
      </w:tr>
      <w:tr w:rsidR="00A2092C" w14:paraId="2A407228" w14:textId="77777777" w:rsidTr="00193BE0">
        <w:tc>
          <w:tcPr>
            <w:tcW w:w="2802" w:type="dxa"/>
          </w:tcPr>
          <w:p w14:paraId="2BB92D52"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Exports as a % of GDP</w:t>
            </w:r>
          </w:p>
        </w:tc>
        <w:tc>
          <w:tcPr>
            <w:tcW w:w="2146" w:type="dxa"/>
          </w:tcPr>
          <w:p w14:paraId="7A0C6AB8"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27.6%</w:t>
            </w:r>
          </w:p>
        </w:tc>
        <w:tc>
          <w:tcPr>
            <w:tcW w:w="2147" w:type="dxa"/>
          </w:tcPr>
          <w:p w14:paraId="4966FD12"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21.9%</w:t>
            </w:r>
          </w:p>
        </w:tc>
        <w:tc>
          <w:tcPr>
            <w:tcW w:w="2147" w:type="dxa"/>
          </w:tcPr>
          <w:p w14:paraId="0F07687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177.9%</w:t>
            </w:r>
          </w:p>
        </w:tc>
      </w:tr>
      <w:tr w:rsidR="00A2092C" w14:paraId="48603427" w14:textId="77777777" w:rsidTr="00193BE0">
        <w:tc>
          <w:tcPr>
            <w:tcW w:w="2802" w:type="dxa"/>
          </w:tcPr>
          <w:p w14:paraId="05682DD8"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Imports as a % of GDP</w:t>
            </w:r>
          </w:p>
        </w:tc>
        <w:tc>
          <w:tcPr>
            <w:tcW w:w="2146" w:type="dxa"/>
          </w:tcPr>
          <w:p w14:paraId="08B36B9F"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29.2%</w:t>
            </w:r>
          </w:p>
        </w:tc>
        <w:tc>
          <w:tcPr>
            <w:tcW w:w="2147" w:type="dxa"/>
          </w:tcPr>
          <w:p w14:paraId="6634766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18.4%</w:t>
            </w:r>
          </w:p>
        </w:tc>
        <w:tc>
          <w:tcPr>
            <w:tcW w:w="2147" w:type="dxa"/>
          </w:tcPr>
          <w:p w14:paraId="05AFE7E7"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152%</w:t>
            </w:r>
          </w:p>
        </w:tc>
      </w:tr>
    </w:tbl>
    <w:p w14:paraId="2DBD8E97" w14:textId="77777777" w:rsidR="00A2092C" w:rsidRDefault="00A2092C" w:rsidP="00A2092C">
      <w:pPr>
        <w:jc w:val="right"/>
        <w:rPr>
          <w:rFonts w:ascii="Arial" w:hAnsi="Arial" w:cs="Arial"/>
        </w:rPr>
      </w:pPr>
      <w:r>
        <w:rPr>
          <w:rFonts w:ascii="Arial" w:hAnsi="Arial" w:cs="Arial"/>
        </w:rPr>
        <w:t>Source: The World Bank Data</w:t>
      </w:r>
    </w:p>
    <w:p w14:paraId="5C140933" w14:textId="77777777" w:rsidR="00E4462D" w:rsidRDefault="004A3600" w:rsidP="004A3600">
      <w:pPr>
        <w:rPr>
          <w:rFonts w:ascii="Arial" w:hAnsi="Arial" w:cs="Arial"/>
        </w:rPr>
      </w:pPr>
      <w:r>
        <w:rPr>
          <w:rFonts w:ascii="Arial" w:hAnsi="Arial" w:cs="Arial"/>
        </w:rPr>
        <w:t xml:space="preserve">Why China depends on export demand? – </w:t>
      </w:r>
      <w:proofErr w:type="spellStart"/>
      <w:r>
        <w:rPr>
          <w:rFonts w:ascii="Arial" w:hAnsi="Arial" w:cs="Arial"/>
        </w:rPr>
        <w:t>china</w:t>
      </w:r>
      <w:proofErr w:type="spellEnd"/>
      <w:r>
        <w:rPr>
          <w:rFonts w:ascii="Arial" w:hAnsi="Arial" w:cs="Arial"/>
        </w:rPr>
        <w:t xml:space="preserve"> needs mass production – mass employment to contain their unemployment</w:t>
      </w:r>
    </w:p>
    <w:p w14:paraId="07B1DB46" w14:textId="77777777" w:rsidR="004A3600" w:rsidRDefault="004A3600" w:rsidP="004A3600">
      <w:pPr>
        <w:rPr>
          <w:rFonts w:ascii="Arial" w:hAnsi="Arial" w:cs="Arial"/>
        </w:rPr>
      </w:pPr>
      <w:r>
        <w:rPr>
          <w:rFonts w:ascii="Arial" w:hAnsi="Arial" w:cs="Arial"/>
        </w:rPr>
        <w:t>Singapore depends on export demand for high valued production – high-valued employment – high wage job – higher SOL and high tax revenue</w:t>
      </w:r>
    </w:p>
    <w:p w14:paraId="4D35B591" w14:textId="77777777" w:rsidR="00A2092C" w:rsidRDefault="00A2092C" w:rsidP="00A2092C">
      <w:pPr>
        <w:jc w:val="both"/>
        <w:rPr>
          <w:rFonts w:ascii="Arial" w:hAnsi="Arial" w:cs="Arial"/>
        </w:rPr>
      </w:pPr>
    </w:p>
    <w:p w14:paraId="20834ACD" w14:textId="77777777" w:rsidR="004A3600" w:rsidRDefault="004A3600" w:rsidP="00A2092C">
      <w:pPr>
        <w:jc w:val="both"/>
        <w:rPr>
          <w:rFonts w:ascii="Arial" w:hAnsi="Arial" w:cs="Arial"/>
        </w:rPr>
      </w:pPr>
    </w:p>
    <w:p w14:paraId="67D96D1E" w14:textId="77777777" w:rsidR="004A3600" w:rsidRDefault="004A3600" w:rsidP="00A2092C">
      <w:pPr>
        <w:jc w:val="both"/>
        <w:rPr>
          <w:rFonts w:ascii="Arial" w:hAnsi="Arial" w:cs="Arial"/>
        </w:rPr>
      </w:pPr>
    </w:p>
    <w:p w14:paraId="1B3BFF27" w14:textId="77777777" w:rsidR="004A3600" w:rsidRDefault="004A3600" w:rsidP="00A2092C">
      <w:pPr>
        <w:jc w:val="both"/>
        <w:rPr>
          <w:rFonts w:ascii="Arial" w:hAnsi="Arial" w:cs="Arial"/>
        </w:rPr>
      </w:pPr>
    </w:p>
    <w:p w14:paraId="67B83A2E" w14:textId="77777777" w:rsidR="004A3600" w:rsidRDefault="004A3600" w:rsidP="00A2092C">
      <w:pPr>
        <w:jc w:val="both"/>
        <w:rPr>
          <w:rFonts w:ascii="Arial" w:hAnsi="Arial" w:cs="Arial"/>
        </w:rPr>
      </w:pPr>
    </w:p>
    <w:p w14:paraId="219CEDB3" w14:textId="77777777" w:rsidR="004A3600" w:rsidRDefault="004A3600" w:rsidP="00A2092C">
      <w:pPr>
        <w:jc w:val="both"/>
        <w:rPr>
          <w:rFonts w:ascii="Arial" w:hAnsi="Arial" w:cs="Arial"/>
        </w:rPr>
      </w:pPr>
    </w:p>
    <w:p w14:paraId="1C57B097" w14:textId="77777777" w:rsidR="004A3600" w:rsidRDefault="004A3600" w:rsidP="00A2092C">
      <w:pPr>
        <w:jc w:val="both"/>
        <w:rPr>
          <w:rFonts w:ascii="Arial" w:hAnsi="Arial" w:cs="Arial"/>
        </w:rPr>
      </w:pPr>
    </w:p>
    <w:p w14:paraId="6B1E4C0C" w14:textId="77777777" w:rsidR="004A3600" w:rsidRDefault="004A3600" w:rsidP="00A2092C">
      <w:pPr>
        <w:jc w:val="both"/>
        <w:rPr>
          <w:rFonts w:ascii="Arial" w:hAnsi="Arial" w:cs="Arial"/>
        </w:rPr>
      </w:pPr>
    </w:p>
    <w:p w14:paraId="0458553C" w14:textId="77777777" w:rsidR="004A3600" w:rsidRDefault="004A3600" w:rsidP="00A2092C">
      <w:pPr>
        <w:jc w:val="both"/>
        <w:rPr>
          <w:rFonts w:ascii="Arial" w:hAnsi="Arial" w:cs="Arial"/>
        </w:rPr>
      </w:pPr>
    </w:p>
    <w:p w14:paraId="4BCA8F6D" w14:textId="77777777" w:rsidR="004A3600" w:rsidRDefault="004A3600" w:rsidP="00A2092C">
      <w:pPr>
        <w:jc w:val="both"/>
        <w:rPr>
          <w:rFonts w:ascii="Arial" w:hAnsi="Arial" w:cs="Arial"/>
        </w:rPr>
      </w:pPr>
    </w:p>
    <w:p w14:paraId="34ED1E04" w14:textId="77777777" w:rsidR="00A2092C" w:rsidRPr="0001075A" w:rsidRDefault="00A2092C" w:rsidP="00A2092C">
      <w:pPr>
        <w:jc w:val="center"/>
        <w:rPr>
          <w:rFonts w:ascii="Arial" w:hAnsi="Arial" w:cs="Arial"/>
          <w:b/>
          <w:bCs/>
        </w:rPr>
      </w:pPr>
      <w:r w:rsidRPr="0001075A">
        <w:rPr>
          <w:rFonts w:ascii="Arial" w:hAnsi="Arial" w:cs="Arial"/>
          <w:b/>
          <w:bCs/>
        </w:rPr>
        <w:t>Table 2: UK’s trade with selected countries</w:t>
      </w:r>
      <w:r>
        <w:rPr>
          <w:rFonts w:ascii="Arial" w:hAnsi="Arial" w:cs="Arial"/>
          <w:b/>
          <w:bCs/>
        </w:rPr>
        <w:t xml:space="preserve"> in 2015</w:t>
      </w:r>
    </w:p>
    <w:p w14:paraId="07A55BFE" w14:textId="77777777" w:rsidR="00A2092C" w:rsidRDefault="00A2092C" w:rsidP="00A2092C">
      <w:pPr>
        <w:jc w:val="both"/>
        <w:rPr>
          <w:rFonts w:ascii="Arial" w:hAnsi="Arial" w:cs="Arial"/>
        </w:rPr>
      </w:pPr>
    </w:p>
    <w:tbl>
      <w:tblPr>
        <w:tblStyle w:val="TableGrid"/>
        <w:tblW w:w="9720" w:type="dxa"/>
        <w:tblLook w:val="04A0" w:firstRow="1" w:lastRow="0" w:firstColumn="1" w:lastColumn="0" w:noHBand="0" w:noVBand="1"/>
      </w:tblPr>
      <w:tblGrid>
        <w:gridCol w:w="3238"/>
        <w:gridCol w:w="3241"/>
        <w:gridCol w:w="3241"/>
      </w:tblGrid>
      <w:tr w:rsidR="00A2092C" w:rsidRPr="0001075A" w14:paraId="2AC08B16" w14:textId="77777777" w:rsidTr="00A2092C">
        <w:trPr>
          <w:trHeight w:val="364"/>
        </w:trPr>
        <w:tc>
          <w:tcPr>
            <w:tcW w:w="3238" w:type="dxa"/>
            <w:shd w:val="clear" w:color="auto" w:fill="E7E6E6" w:themeFill="background2"/>
          </w:tcPr>
          <w:p w14:paraId="6DC6DF42" w14:textId="77777777" w:rsidR="00A2092C" w:rsidRPr="0001075A" w:rsidRDefault="00A2092C" w:rsidP="00193BE0">
            <w:pPr>
              <w:spacing w:before="40" w:after="40"/>
              <w:jc w:val="both"/>
              <w:rPr>
                <w:rFonts w:ascii="Arial" w:hAnsi="Arial" w:cs="Arial"/>
                <w:b/>
                <w:bCs/>
                <w:sz w:val="22"/>
                <w:szCs w:val="22"/>
              </w:rPr>
            </w:pPr>
            <w:r w:rsidRPr="0001075A">
              <w:rPr>
                <w:rFonts w:ascii="Arial" w:hAnsi="Arial" w:cs="Arial"/>
                <w:b/>
                <w:bCs/>
                <w:sz w:val="22"/>
                <w:szCs w:val="22"/>
              </w:rPr>
              <w:t>Countries</w:t>
            </w:r>
          </w:p>
        </w:tc>
        <w:tc>
          <w:tcPr>
            <w:tcW w:w="3241" w:type="dxa"/>
            <w:shd w:val="clear" w:color="auto" w:fill="E7E6E6" w:themeFill="background2"/>
          </w:tcPr>
          <w:p w14:paraId="016FEBD4" w14:textId="77777777" w:rsidR="00A2092C" w:rsidRPr="0001075A" w:rsidRDefault="00A2092C" w:rsidP="00193BE0">
            <w:pPr>
              <w:spacing w:before="40" w:after="40"/>
              <w:jc w:val="center"/>
              <w:rPr>
                <w:rFonts w:ascii="Arial" w:hAnsi="Arial" w:cs="Arial"/>
                <w:b/>
                <w:bCs/>
                <w:sz w:val="22"/>
                <w:szCs w:val="22"/>
              </w:rPr>
            </w:pPr>
            <w:r>
              <w:rPr>
                <w:rFonts w:ascii="Arial" w:hAnsi="Arial" w:cs="Arial"/>
                <w:b/>
                <w:bCs/>
                <w:sz w:val="22"/>
                <w:szCs w:val="22"/>
              </w:rPr>
              <w:t>UK’s e</w:t>
            </w:r>
            <w:r w:rsidRPr="0001075A">
              <w:rPr>
                <w:rFonts w:ascii="Arial" w:hAnsi="Arial" w:cs="Arial"/>
                <w:b/>
                <w:bCs/>
                <w:sz w:val="22"/>
                <w:szCs w:val="22"/>
              </w:rPr>
              <w:t>xports</w:t>
            </w:r>
            <w:r>
              <w:rPr>
                <w:rFonts w:ascii="Arial" w:hAnsi="Arial" w:cs="Arial"/>
                <w:b/>
                <w:bCs/>
                <w:sz w:val="22"/>
                <w:szCs w:val="22"/>
              </w:rPr>
              <w:t xml:space="preserve"> to (£)</w:t>
            </w:r>
            <w:r w:rsidRPr="0001075A">
              <w:rPr>
                <w:rFonts w:ascii="Arial" w:hAnsi="Arial" w:cs="Arial"/>
                <w:b/>
                <w:bCs/>
                <w:sz w:val="22"/>
                <w:szCs w:val="22"/>
              </w:rPr>
              <w:t xml:space="preserve"> (Rank)</w:t>
            </w:r>
          </w:p>
        </w:tc>
        <w:tc>
          <w:tcPr>
            <w:tcW w:w="3241" w:type="dxa"/>
            <w:shd w:val="clear" w:color="auto" w:fill="E7E6E6" w:themeFill="background2"/>
          </w:tcPr>
          <w:p w14:paraId="3DB6D971" w14:textId="77777777" w:rsidR="00A2092C" w:rsidRPr="0001075A" w:rsidRDefault="00A2092C" w:rsidP="00193BE0">
            <w:pPr>
              <w:spacing w:before="40" w:after="40"/>
              <w:jc w:val="center"/>
              <w:rPr>
                <w:rFonts w:ascii="Arial" w:hAnsi="Arial" w:cs="Arial"/>
                <w:b/>
                <w:bCs/>
                <w:sz w:val="22"/>
                <w:szCs w:val="22"/>
              </w:rPr>
            </w:pPr>
            <w:r>
              <w:rPr>
                <w:rFonts w:ascii="Arial" w:hAnsi="Arial" w:cs="Arial"/>
                <w:b/>
                <w:bCs/>
                <w:sz w:val="22"/>
                <w:szCs w:val="22"/>
              </w:rPr>
              <w:t>UK’s i</w:t>
            </w:r>
            <w:r w:rsidRPr="0001075A">
              <w:rPr>
                <w:rFonts w:ascii="Arial" w:hAnsi="Arial" w:cs="Arial"/>
                <w:b/>
                <w:bCs/>
                <w:sz w:val="22"/>
                <w:szCs w:val="22"/>
              </w:rPr>
              <w:t>mports</w:t>
            </w:r>
            <w:r>
              <w:rPr>
                <w:rFonts w:ascii="Arial" w:hAnsi="Arial" w:cs="Arial"/>
                <w:b/>
                <w:bCs/>
                <w:sz w:val="22"/>
                <w:szCs w:val="22"/>
              </w:rPr>
              <w:t xml:space="preserve"> from</w:t>
            </w:r>
            <w:r w:rsidRPr="0001075A">
              <w:rPr>
                <w:rFonts w:ascii="Arial" w:hAnsi="Arial" w:cs="Arial"/>
                <w:b/>
                <w:bCs/>
                <w:sz w:val="22"/>
                <w:szCs w:val="22"/>
              </w:rPr>
              <w:t xml:space="preserve"> </w:t>
            </w:r>
            <w:r>
              <w:rPr>
                <w:rFonts w:ascii="Arial" w:hAnsi="Arial" w:cs="Arial"/>
                <w:b/>
                <w:bCs/>
                <w:sz w:val="22"/>
                <w:szCs w:val="22"/>
              </w:rPr>
              <w:t xml:space="preserve">(£) </w:t>
            </w:r>
            <w:r w:rsidRPr="0001075A">
              <w:rPr>
                <w:rFonts w:ascii="Arial" w:hAnsi="Arial" w:cs="Arial"/>
                <w:b/>
                <w:bCs/>
                <w:sz w:val="22"/>
                <w:szCs w:val="22"/>
              </w:rPr>
              <w:t>(Rank)</w:t>
            </w:r>
          </w:p>
        </w:tc>
      </w:tr>
      <w:tr w:rsidR="00A2092C" w14:paraId="0E84B73F" w14:textId="77777777" w:rsidTr="00193BE0">
        <w:trPr>
          <w:trHeight w:val="323"/>
        </w:trPr>
        <w:tc>
          <w:tcPr>
            <w:tcW w:w="3238" w:type="dxa"/>
          </w:tcPr>
          <w:p w14:paraId="37A4916D" w14:textId="77777777" w:rsidR="00A2092C" w:rsidRDefault="00A2092C" w:rsidP="00193BE0">
            <w:pPr>
              <w:spacing w:before="40" w:after="40"/>
              <w:jc w:val="both"/>
              <w:rPr>
                <w:rFonts w:ascii="Arial" w:hAnsi="Arial" w:cs="Arial"/>
                <w:sz w:val="22"/>
                <w:szCs w:val="22"/>
              </w:rPr>
            </w:pPr>
            <w:r>
              <w:rPr>
                <w:rFonts w:ascii="Arial" w:hAnsi="Arial" w:cs="Arial"/>
                <w:sz w:val="22"/>
                <w:szCs w:val="22"/>
              </w:rPr>
              <w:t>United States</w:t>
            </w:r>
          </w:p>
        </w:tc>
        <w:tc>
          <w:tcPr>
            <w:tcW w:w="3241" w:type="dxa"/>
          </w:tcPr>
          <w:p w14:paraId="3F6BD28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96.4bn (1</w:t>
            </w:r>
            <w:r w:rsidRPr="0001075A">
              <w:rPr>
                <w:rFonts w:ascii="Arial" w:hAnsi="Arial" w:cs="Arial"/>
                <w:sz w:val="22"/>
                <w:szCs w:val="22"/>
                <w:vertAlign w:val="superscript"/>
              </w:rPr>
              <w:t>st</w:t>
            </w:r>
            <w:r>
              <w:rPr>
                <w:rFonts w:ascii="Arial" w:hAnsi="Arial" w:cs="Arial"/>
                <w:sz w:val="22"/>
                <w:szCs w:val="22"/>
              </w:rPr>
              <w:t>)</w:t>
            </w:r>
          </w:p>
        </w:tc>
        <w:tc>
          <w:tcPr>
            <w:tcW w:w="3241" w:type="dxa"/>
          </w:tcPr>
          <w:p w14:paraId="2679176F" w14:textId="77777777" w:rsidR="00A2092C" w:rsidRDefault="00A2092C" w:rsidP="00193BE0">
            <w:pPr>
              <w:spacing w:before="40" w:after="40"/>
              <w:jc w:val="center"/>
              <w:rPr>
                <w:rFonts w:ascii="Arial" w:hAnsi="Arial" w:cs="Arial"/>
                <w:sz w:val="22"/>
                <w:szCs w:val="22"/>
              </w:rPr>
            </w:pPr>
            <w:r>
              <w:rPr>
                <w:rFonts w:ascii="Arial" w:hAnsi="Arial" w:cs="Arial"/>
                <w:sz w:val="22"/>
                <w:szCs w:val="22"/>
              </w:rPr>
              <w:t>59.3bn (2</w:t>
            </w:r>
            <w:r w:rsidRPr="0001075A">
              <w:rPr>
                <w:rFonts w:ascii="Arial" w:hAnsi="Arial" w:cs="Arial"/>
                <w:sz w:val="22"/>
                <w:szCs w:val="22"/>
                <w:vertAlign w:val="superscript"/>
              </w:rPr>
              <w:t>nd</w:t>
            </w:r>
            <w:r>
              <w:rPr>
                <w:rFonts w:ascii="Arial" w:hAnsi="Arial" w:cs="Arial"/>
                <w:sz w:val="22"/>
                <w:szCs w:val="22"/>
              </w:rPr>
              <w:t>)</w:t>
            </w:r>
          </w:p>
        </w:tc>
      </w:tr>
      <w:tr w:rsidR="00A2092C" w14:paraId="4FF37ACB" w14:textId="77777777" w:rsidTr="00193BE0">
        <w:trPr>
          <w:trHeight w:val="307"/>
        </w:trPr>
        <w:tc>
          <w:tcPr>
            <w:tcW w:w="3238" w:type="dxa"/>
          </w:tcPr>
          <w:p w14:paraId="1476AF07" w14:textId="77777777" w:rsidR="00A2092C" w:rsidRDefault="00A2092C" w:rsidP="00193BE0">
            <w:pPr>
              <w:spacing w:before="40" w:after="40"/>
              <w:jc w:val="both"/>
              <w:rPr>
                <w:rFonts w:ascii="Arial" w:hAnsi="Arial" w:cs="Arial"/>
                <w:sz w:val="22"/>
                <w:szCs w:val="22"/>
              </w:rPr>
            </w:pPr>
            <w:r>
              <w:rPr>
                <w:rFonts w:ascii="Arial" w:hAnsi="Arial" w:cs="Arial"/>
                <w:sz w:val="22"/>
                <w:szCs w:val="22"/>
              </w:rPr>
              <w:t>China</w:t>
            </w:r>
          </w:p>
        </w:tc>
        <w:tc>
          <w:tcPr>
            <w:tcW w:w="3241" w:type="dxa"/>
          </w:tcPr>
          <w:p w14:paraId="2825496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16.7bn (8</w:t>
            </w:r>
            <w:r w:rsidRPr="0001075A">
              <w:rPr>
                <w:rFonts w:ascii="Arial" w:hAnsi="Arial" w:cs="Arial"/>
                <w:sz w:val="22"/>
                <w:szCs w:val="22"/>
                <w:vertAlign w:val="superscript"/>
              </w:rPr>
              <w:t>th</w:t>
            </w:r>
            <w:r>
              <w:rPr>
                <w:rFonts w:ascii="Arial" w:hAnsi="Arial" w:cs="Arial"/>
                <w:sz w:val="22"/>
                <w:szCs w:val="22"/>
              </w:rPr>
              <w:t>)</w:t>
            </w:r>
          </w:p>
        </w:tc>
        <w:tc>
          <w:tcPr>
            <w:tcW w:w="3241" w:type="dxa"/>
          </w:tcPr>
          <w:p w14:paraId="397EC90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38.4bn (3</w:t>
            </w:r>
            <w:r w:rsidRPr="0001075A">
              <w:rPr>
                <w:rFonts w:ascii="Arial" w:hAnsi="Arial" w:cs="Arial"/>
                <w:sz w:val="22"/>
                <w:szCs w:val="22"/>
                <w:vertAlign w:val="superscript"/>
              </w:rPr>
              <w:t>rd</w:t>
            </w:r>
            <w:r>
              <w:rPr>
                <w:rFonts w:ascii="Arial" w:hAnsi="Arial" w:cs="Arial"/>
                <w:sz w:val="22"/>
                <w:szCs w:val="22"/>
              </w:rPr>
              <w:t>)</w:t>
            </w:r>
          </w:p>
        </w:tc>
      </w:tr>
      <w:tr w:rsidR="00A2092C" w14:paraId="7E25201C" w14:textId="77777777" w:rsidTr="00193BE0">
        <w:trPr>
          <w:trHeight w:val="323"/>
        </w:trPr>
        <w:tc>
          <w:tcPr>
            <w:tcW w:w="3238" w:type="dxa"/>
          </w:tcPr>
          <w:p w14:paraId="4ABAA8BE" w14:textId="77777777" w:rsidR="00A2092C" w:rsidRDefault="00A2092C" w:rsidP="00193BE0">
            <w:pPr>
              <w:spacing w:before="40" w:after="40"/>
              <w:jc w:val="both"/>
              <w:rPr>
                <w:rFonts w:ascii="Arial" w:hAnsi="Arial" w:cs="Arial"/>
                <w:sz w:val="22"/>
                <w:szCs w:val="22"/>
              </w:rPr>
            </w:pPr>
            <w:r>
              <w:rPr>
                <w:rFonts w:ascii="Arial" w:hAnsi="Arial" w:cs="Arial"/>
                <w:sz w:val="22"/>
                <w:szCs w:val="22"/>
              </w:rPr>
              <w:t>Japan</w:t>
            </w:r>
          </w:p>
        </w:tc>
        <w:tc>
          <w:tcPr>
            <w:tcW w:w="3241" w:type="dxa"/>
          </w:tcPr>
          <w:p w14:paraId="75E8698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10.5bn (11</w:t>
            </w:r>
            <w:r w:rsidRPr="004721B0">
              <w:rPr>
                <w:rFonts w:ascii="Arial" w:hAnsi="Arial" w:cs="Arial"/>
                <w:sz w:val="22"/>
                <w:szCs w:val="22"/>
                <w:vertAlign w:val="superscript"/>
              </w:rPr>
              <w:t>th</w:t>
            </w:r>
            <w:r>
              <w:rPr>
                <w:rFonts w:ascii="Arial" w:hAnsi="Arial" w:cs="Arial"/>
                <w:sz w:val="22"/>
                <w:szCs w:val="22"/>
              </w:rPr>
              <w:t>)</w:t>
            </w:r>
          </w:p>
        </w:tc>
        <w:tc>
          <w:tcPr>
            <w:tcW w:w="3241" w:type="dxa"/>
          </w:tcPr>
          <w:p w14:paraId="7026089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9.6bn (14</w:t>
            </w:r>
            <w:r w:rsidRPr="004721B0">
              <w:rPr>
                <w:rFonts w:ascii="Arial" w:hAnsi="Arial" w:cs="Arial"/>
                <w:sz w:val="22"/>
                <w:szCs w:val="22"/>
                <w:vertAlign w:val="superscript"/>
              </w:rPr>
              <w:t>th</w:t>
            </w:r>
            <w:r>
              <w:rPr>
                <w:rFonts w:ascii="Arial" w:hAnsi="Arial" w:cs="Arial"/>
                <w:sz w:val="22"/>
                <w:szCs w:val="22"/>
              </w:rPr>
              <w:t>)</w:t>
            </w:r>
          </w:p>
        </w:tc>
      </w:tr>
      <w:tr w:rsidR="00A2092C" w14:paraId="04E2DECF" w14:textId="77777777" w:rsidTr="00193BE0">
        <w:trPr>
          <w:trHeight w:val="323"/>
        </w:trPr>
        <w:tc>
          <w:tcPr>
            <w:tcW w:w="3238" w:type="dxa"/>
          </w:tcPr>
          <w:p w14:paraId="714DD179" w14:textId="77777777" w:rsidR="00A2092C" w:rsidRDefault="00A2092C" w:rsidP="00193BE0">
            <w:pPr>
              <w:spacing w:before="40" w:after="40"/>
              <w:jc w:val="both"/>
              <w:rPr>
                <w:rFonts w:ascii="Arial" w:hAnsi="Arial" w:cs="Arial"/>
                <w:sz w:val="22"/>
                <w:szCs w:val="22"/>
              </w:rPr>
            </w:pPr>
            <w:r>
              <w:rPr>
                <w:rFonts w:ascii="Arial" w:hAnsi="Arial" w:cs="Arial"/>
                <w:sz w:val="22"/>
                <w:szCs w:val="22"/>
              </w:rPr>
              <w:t>Germany</w:t>
            </w:r>
          </w:p>
        </w:tc>
        <w:tc>
          <w:tcPr>
            <w:tcW w:w="3241" w:type="dxa"/>
          </w:tcPr>
          <w:p w14:paraId="516A002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48.5bn (2</w:t>
            </w:r>
            <w:r w:rsidRPr="0001075A">
              <w:rPr>
                <w:rFonts w:ascii="Arial" w:hAnsi="Arial" w:cs="Arial"/>
                <w:sz w:val="22"/>
                <w:szCs w:val="22"/>
                <w:vertAlign w:val="superscript"/>
              </w:rPr>
              <w:t>nd</w:t>
            </w:r>
            <w:r>
              <w:rPr>
                <w:rFonts w:ascii="Arial" w:hAnsi="Arial" w:cs="Arial"/>
                <w:sz w:val="22"/>
                <w:szCs w:val="22"/>
              </w:rPr>
              <w:t>)</w:t>
            </w:r>
          </w:p>
        </w:tc>
        <w:tc>
          <w:tcPr>
            <w:tcW w:w="3241" w:type="dxa"/>
          </w:tcPr>
          <w:p w14:paraId="6A958381" w14:textId="77777777" w:rsidR="00A2092C" w:rsidRDefault="00A2092C" w:rsidP="00193BE0">
            <w:pPr>
              <w:spacing w:before="40" w:after="40"/>
              <w:jc w:val="center"/>
              <w:rPr>
                <w:rFonts w:ascii="Arial" w:hAnsi="Arial" w:cs="Arial"/>
                <w:sz w:val="22"/>
                <w:szCs w:val="22"/>
              </w:rPr>
            </w:pPr>
            <w:r>
              <w:rPr>
                <w:rFonts w:ascii="Arial" w:hAnsi="Arial" w:cs="Arial"/>
                <w:sz w:val="22"/>
                <w:szCs w:val="22"/>
              </w:rPr>
              <w:t>70.4bn (1</w:t>
            </w:r>
            <w:r w:rsidRPr="0001075A">
              <w:rPr>
                <w:rFonts w:ascii="Arial" w:hAnsi="Arial" w:cs="Arial"/>
                <w:sz w:val="22"/>
                <w:szCs w:val="22"/>
                <w:vertAlign w:val="superscript"/>
              </w:rPr>
              <w:t>st</w:t>
            </w:r>
            <w:r>
              <w:rPr>
                <w:rFonts w:ascii="Arial" w:hAnsi="Arial" w:cs="Arial"/>
                <w:sz w:val="22"/>
                <w:szCs w:val="22"/>
              </w:rPr>
              <w:t>)</w:t>
            </w:r>
          </w:p>
        </w:tc>
      </w:tr>
      <w:tr w:rsidR="00A2092C" w14:paraId="77FCF756" w14:textId="77777777" w:rsidTr="00193BE0">
        <w:trPr>
          <w:trHeight w:val="338"/>
        </w:trPr>
        <w:tc>
          <w:tcPr>
            <w:tcW w:w="3238" w:type="dxa"/>
          </w:tcPr>
          <w:p w14:paraId="0E8A50BE" w14:textId="77777777" w:rsidR="00A2092C" w:rsidRDefault="00A2092C" w:rsidP="00193BE0">
            <w:pPr>
              <w:spacing w:before="40" w:after="40"/>
              <w:jc w:val="both"/>
              <w:rPr>
                <w:rFonts w:ascii="Arial" w:hAnsi="Arial" w:cs="Arial"/>
                <w:sz w:val="22"/>
                <w:szCs w:val="22"/>
              </w:rPr>
            </w:pPr>
            <w:r>
              <w:rPr>
                <w:rFonts w:ascii="Arial" w:hAnsi="Arial" w:cs="Arial"/>
                <w:sz w:val="22"/>
                <w:szCs w:val="22"/>
              </w:rPr>
              <w:t>Singapore</w:t>
            </w:r>
          </w:p>
        </w:tc>
        <w:tc>
          <w:tcPr>
            <w:tcW w:w="3241" w:type="dxa"/>
          </w:tcPr>
          <w:p w14:paraId="6B483C92" w14:textId="77777777" w:rsidR="00A2092C" w:rsidRDefault="00A2092C" w:rsidP="00193BE0">
            <w:pPr>
              <w:spacing w:before="40" w:after="40"/>
              <w:jc w:val="center"/>
              <w:rPr>
                <w:rFonts w:ascii="Arial" w:hAnsi="Arial" w:cs="Arial"/>
                <w:sz w:val="22"/>
                <w:szCs w:val="22"/>
              </w:rPr>
            </w:pPr>
            <w:r>
              <w:rPr>
                <w:rFonts w:ascii="Arial" w:hAnsi="Arial" w:cs="Arial"/>
                <w:sz w:val="22"/>
                <w:szCs w:val="22"/>
              </w:rPr>
              <w:t>7.1bn (17</w:t>
            </w:r>
            <w:r w:rsidRPr="004721B0">
              <w:rPr>
                <w:rFonts w:ascii="Arial" w:hAnsi="Arial" w:cs="Arial"/>
                <w:sz w:val="22"/>
                <w:szCs w:val="22"/>
                <w:vertAlign w:val="superscript"/>
              </w:rPr>
              <w:t>th</w:t>
            </w:r>
            <w:r>
              <w:rPr>
                <w:rFonts w:ascii="Arial" w:hAnsi="Arial" w:cs="Arial"/>
                <w:sz w:val="22"/>
                <w:szCs w:val="22"/>
              </w:rPr>
              <w:t>)</w:t>
            </w:r>
          </w:p>
        </w:tc>
        <w:tc>
          <w:tcPr>
            <w:tcW w:w="3241" w:type="dxa"/>
          </w:tcPr>
          <w:p w14:paraId="4D48AC0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3.9bn (27</w:t>
            </w:r>
            <w:r w:rsidRPr="004721B0">
              <w:rPr>
                <w:rFonts w:ascii="Arial" w:hAnsi="Arial" w:cs="Arial"/>
                <w:sz w:val="22"/>
                <w:szCs w:val="22"/>
                <w:vertAlign w:val="superscript"/>
              </w:rPr>
              <w:t>th</w:t>
            </w:r>
            <w:r>
              <w:rPr>
                <w:rFonts w:ascii="Arial" w:hAnsi="Arial" w:cs="Arial"/>
                <w:sz w:val="22"/>
                <w:szCs w:val="22"/>
              </w:rPr>
              <w:t>)</w:t>
            </w:r>
          </w:p>
        </w:tc>
      </w:tr>
    </w:tbl>
    <w:p w14:paraId="3EA99A2D" w14:textId="77777777" w:rsidR="00A2092C" w:rsidRDefault="00A2092C" w:rsidP="00A2092C">
      <w:pPr>
        <w:jc w:val="right"/>
        <w:rPr>
          <w:rFonts w:ascii="Arial" w:hAnsi="Arial" w:cs="Arial"/>
        </w:rPr>
      </w:pPr>
      <w:r>
        <w:rPr>
          <w:rFonts w:ascii="Arial" w:hAnsi="Arial" w:cs="Arial"/>
        </w:rPr>
        <w:t>Source: Office for National Statistics; www.visual.ons.gov.uk</w:t>
      </w:r>
    </w:p>
    <w:p w14:paraId="0B8C749C" w14:textId="77777777" w:rsidR="00A2092C" w:rsidRPr="00A2092C" w:rsidRDefault="00A2092C" w:rsidP="00A2092C">
      <w:pPr>
        <w:pStyle w:val="Heading1"/>
        <w:spacing w:line="240" w:lineRule="atLeast"/>
        <w:ind w:left="0"/>
        <w:rPr>
          <w:u w:val="none"/>
        </w:rPr>
      </w:pPr>
      <w:r w:rsidRPr="00A2092C">
        <w:rPr>
          <w:u w:val="none"/>
        </w:rPr>
        <w:t>Extract 2: China pledges policy support to economy, reform in 2016</w:t>
      </w:r>
    </w:p>
    <w:p w14:paraId="26624A5B" w14:textId="77777777" w:rsidR="00A2092C" w:rsidRPr="00A2092C" w:rsidRDefault="00A2092C" w:rsidP="00A2092C">
      <w:pPr>
        <w:pStyle w:val="NormalWeb"/>
        <w:spacing w:before="0" w:beforeAutospacing="0" w:after="0" w:afterAutospacing="0"/>
        <w:jc w:val="both"/>
        <w:rPr>
          <w:rFonts w:ascii="Arial" w:hAnsi="Arial" w:cs="Arial"/>
        </w:rPr>
      </w:pPr>
    </w:p>
    <w:p w14:paraId="23CB5C0D" w14:textId="77777777" w:rsidR="00A2092C" w:rsidRPr="00A2092C" w:rsidRDefault="00A2092C" w:rsidP="00A2092C">
      <w:pPr>
        <w:pStyle w:val="NormalWeb"/>
        <w:spacing w:before="0" w:beforeAutospacing="0" w:after="0" w:afterAutospacing="0"/>
        <w:jc w:val="both"/>
        <w:rPr>
          <w:rFonts w:ascii="Arial" w:hAnsi="Arial" w:cs="Arial"/>
        </w:rPr>
      </w:pPr>
      <w:r w:rsidRPr="00A2092C">
        <w:rPr>
          <w:rFonts w:ascii="Arial" w:hAnsi="Arial" w:cs="Arial"/>
        </w:rPr>
        <w:t>China will make its monetary policy more flexible and expand its budget deficit in 2016 to support a slowing economy, state media said on Monday. It cited top leaders who wrapped up the annual Central Economic Work Conference, a meeting keenly watched by investors for clues on policy priorities and main economic targets for the year ahead.</w:t>
      </w:r>
    </w:p>
    <w:p w14:paraId="4B973424" w14:textId="77777777" w:rsidR="00A2092C" w:rsidRPr="00A2092C" w:rsidRDefault="00A2092C" w:rsidP="00A2092C">
      <w:pPr>
        <w:pStyle w:val="NormalWeb"/>
        <w:spacing w:before="0" w:beforeAutospacing="0" w:after="0" w:afterAutospacing="0"/>
        <w:jc w:val="both"/>
        <w:rPr>
          <w:rFonts w:ascii="Arial" w:hAnsi="Arial" w:cs="Arial"/>
        </w:rPr>
      </w:pPr>
    </w:p>
    <w:p w14:paraId="02B8259E" w14:textId="77777777" w:rsidR="00A2092C" w:rsidRPr="00A2092C" w:rsidRDefault="00A2092C" w:rsidP="00A2092C">
      <w:pPr>
        <w:pStyle w:val="NormalWeb"/>
        <w:spacing w:before="0" w:beforeAutospacing="0" w:after="0" w:afterAutospacing="0"/>
        <w:jc w:val="both"/>
        <w:rPr>
          <w:rFonts w:ascii="Arial" w:hAnsi="Arial" w:cs="Arial"/>
        </w:rPr>
      </w:pPr>
      <w:r w:rsidRPr="00A2092C">
        <w:rPr>
          <w:rFonts w:ascii="Arial" w:hAnsi="Arial" w:cs="Arial"/>
        </w:rPr>
        <w:t>The government will take steps to expand aggregate demand next year. The People's Bank of China has cut interest rates six times since November last year and reduced banks' reserve requirement ratios (RRR), or the amount of cash that banks must set aside as reserves. The government has also stepped up spending on infrastructure projects and eased restrictions on home buying to boost the sluggish property market. Top leaders also pledged to push forward "supply-side reform" to help generate new growth engines, while tackling factory overcapacity and property inventories.</w:t>
      </w:r>
    </w:p>
    <w:p w14:paraId="6D87DE62" w14:textId="77777777" w:rsidR="00A2092C" w:rsidRPr="00A2092C" w:rsidRDefault="00A2092C" w:rsidP="00A2092C">
      <w:pPr>
        <w:pStyle w:val="NormalWeb"/>
        <w:spacing w:before="0" w:beforeAutospacing="0" w:after="0" w:afterAutospacing="0"/>
        <w:jc w:val="both"/>
        <w:rPr>
          <w:rFonts w:ascii="Arial" w:hAnsi="Arial" w:cs="Arial"/>
        </w:rPr>
      </w:pPr>
    </w:p>
    <w:p w14:paraId="106B5A74" w14:textId="77777777" w:rsidR="00A2092C" w:rsidRPr="00A2092C" w:rsidRDefault="00A2092C" w:rsidP="00A2092C">
      <w:pPr>
        <w:jc w:val="right"/>
        <w:rPr>
          <w:rFonts w:ascii="Arial" w:hAnsi="Arial" w:cs="Arial"/>
          <w:lang w:val="en-SG"/>
        </w:rPr>
      </w:pPr>
      <w:r w:rsidRPr="00A2092C">
        <w:rPr>
          <w:rFonts w:ascii="Arial" w:hAnsi="Arial" w:cs="Arial"/>
          <w:lang w:val="en-SG"/>
        </w:rPr>
        <w:t>Source: Reuters, 21 December 2015</w:t>
      </w:r>
    </w:p>
    <w:p w14:paraId="0179E07F" w14:textId="77777777" w:rsidR="00A2092C" w:rsidRPr="00A2092C" w:rsidRDefault="00A2092C" w:rsidP="00A2092C">
      <w:pPr>
        <w:jc w:val="right"/>
        <w:rPr>
          <w:rFonts w:ascii="Arial" w:hAnsi="Arial" w:cs="Arial"/>
          <w:lang w:val="en-SG"/>
        </w:rPr>
      </w:pPr>
    </w:p>
    <w:p w14:paraId="3BA61F22" w14:textId="77777777" w:rsidR="00A2092C" w:rsidRPr="00A2092C" w:rsidRDefault="00A2092C" w:rsidP="00A2092C">
      <w:pPr>
        <w:pStyle w:val="Heading1"/>
        <w:shd w:val="clear" w:color="auto" w:fill="FFFFFF"/>
        <w:ind w:left="0"/>
        <w:jc w:val="both"/>
        <w:rPr>
          <w:bCs/>
          <w:u w:val="none"/>
        </w:rPr>
      </w:pPr>
      <w:r w:rsidRPr="00A2092C">
        <w:rPr>
          <w:u w:val="none"/>
        </w:rPr>
        <w:t>Extract 3: Shedding light on slowing growth: What ails Singapore's economy?</w:t>
      </w:r>
    </w:p>
    <w:p w14:paraId="6F0541A1" w14:textId="77777777" w:rsidR="00A2092C" w:rsidRPr="00A2092C" w:rsidRDefault="00A2092C" w:rsidP="00A2092C">
      <w:pPr>
        <w:pStyle w:val="Heading1"/>
        <w:shd w:val="clear" w:color="auto" w:fill="FFFFFF"/>
        <w:jc w:val="both"/>
        <w:rPr>
          <w:b w:val="0"/>
          <w:bCs/>
          <w:u w:val="none"/>
        </w:rPr>
      </w:pPr>
    </w:p>
    <w:p w14:paraId="37B3A078" w14:textId="77777777" w:rsidR="00A2092C" w:rsidRPr="00A2092C" w:rsidRDefault="00A2092C" w:rsidP="00A2092C">
      <w:pPr>
        <w:pStyle w:val="Heading1"/>
        <w:shd w:val="clear" w:color="auto" w:fill="FFFFFF"/>
        <w:ind w:left="0"/>
        <w:jc w:val="both"/>
        <w:rPr>
          <w:u w:val="none"/>
        </w:rPr>
      </w:pPr>
      <w:r w:rsidRPr="00A2092C">
        <w:rPr>
          <w:b w:val="0"/>
          <w:u w:val="none"/>
        </w:rPr>
        <w:t xml:space="preserve">Singapore's small, trade-dependent economy is under the weather. While the country has not yet sunk into a full-blown recession, its fortunes are tied closely to those of the world economy and the outlook there is far from cheery. </w:t>
      </w:r>
      <w:r w:rsidRPr="00A2092C">
        <w:rPr>
          <w:b w:val="0"/>
          <w:bCs/>
          <w:u w:val="none"/>
        </w:rPr>
        <w:t>The Sunday Times looks at four key contributors to slowing growth in Singapore.</w:t>
      </w:r>
    </w:p>
    <w:p w14:paraId="011FF37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1CCB85C"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proofErr w:type="spellStart"/>
      <w:r w:rsidRPr="00A2092C">
        <w:rPr>
          <w:rStyle w:val="Strong"/>
          <w:rFonts w:ascii="Arial" w:eastAsiaTheme="majorEastAsia" w:hAnsi="Arial" w:cs="Arial"/>
        </w:rPr>
        <w:t>Lacklustre</w:t>
      </w:r>
      <w:proofErr w:type="spellEnd"/>
      <w:r w:rsidRPr="00A2092C">
        <w:rPr>
          <w:rStyle w:val="Strong"/>
          <w:rFonts w:ascii="Arial" w:eastAsiaTheme="majorEastAsia" w:hAnsi="Arial" w:cs="Arial"/>
        </w:rPr>
        <w:t xml:space="preserve"> Global Growth</w:t>
      </w:r>
    </w:p>
    <w:p w14:paraId="65C972D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The world economy has yet to completely shake off the vestiges of the global financial crisis and continues to lack a strong growth driver. Singapore’s key trading partners have all been grappling with their own sets of challenges.</w:t>
      </w:r>
    </w:p>
    <w:p w14:paraId="7C48A4F5"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09ED43F1"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Protracted Oil Price Slump</w:t>
      </w:r>
    </w:p>
    <w:p w14:paraId="6E542E9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World oil prices had been </w:t>
      </w:r>
      <w:proofErr w:type="gramStart"/>
      <w:r w:rsidRPr="00A2092C">
        <w:rPr>
          <w:rFonts w:ascii="Arial" w:hAnsi="Arial" w:cs="Arial"/>
        </w:rPr>
        <w:t>fairly stable</w:t>
      </w:r>
      <w:proofErr w:type="gramEnd"/>
      <w:r w:rsidRPr="00A2092C">
        <w:rPr>
          <w:rFonts w:ascii="Arial" w:hAnsi="Arial" w:cs="Arial"/>
        </w:rPr>
        <w:t xml:space="preserve"> from 2010 until mid-2014, at around US$110 a barrel.</w:t>
      </w:r>
      <w:r>
        <w:rPr>
          <w:rFonts w:ascii="Arial" w:hAnsi="Arial" w:cs="Arial"/>
        </w:rPr>
        <w:t xml:space="preserve"> </w:t>
      </w:r>
      <w:r w:rsidRPr="00A2092C">
        <w:rPr>
          <w:rFonts w:ascii="Arial" w:hAnsi="Arial" w:cs="Arial"/>
        </w:rPr>
        <w:t>But they have almost halved since, plunging the oil and gas industry into a crippling slump.</w:t>
      </w:r>
      <w:r>
        <w:rPr>
          <w:rFonts w:ascii="Arial" w:hAnsi="Arial" w:cs="Arial"/>
        </w:rPr>
        <w:t xml:space="preserve"> </w:t>
      </w:r>
      <w:r w:rsidRPr="00A2092C">
        <w:rPr>
          <w:rFonts w:ascii="Arial" w:hAnsi="Arial" w:cs="Arial"/>
        </w:rPr>
        <w:t xml:space="preserve">Companies in Singapore have not been spared the effects of this protracted downturn. More than two years of tumbling oil prices have wiped over US$24 billion (S$33.5 billion) from the market value of Keppel, Sembcorp Marine and other listed oil-services companies - or about two-thirds of their pre-July 2014 </w:t>
      </w:r>
      <w:proofErr w:type="spellStart"/>
      <w:r w:rsidRPr="00A2092C">
        <w:rPr>
          <w:rFonts w:ascii="Arial" w:hAnsi="Arial" w:cs="Arial"/>
        </w:rPr>
        <w:t>capitalisation</w:t>
      </w:r>
      <w:proofErr w:type="spellEnd"/>
      <w:r w:rsidRPr="00A2092C">
        <w:rPr>
          <w:rFonts w:ascii="Arial" w:hAnsi="Arial" w:cs="Arial"/>
        </w:rPr>
        <w:t>.</w:t>
      </w:r>
    </w:p>
    <w:p w14:paraId="2E8D5AD6"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7FE28BE5"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Tens of thousands of jobs have been axed and some companies have defaulted on bond payments - sparking concerns over banks' exposure to the sector. The drag from this important sector is predicted to feed through to the rest of the economy.</w:t>
      </w:r>
    </w:p>
    <w:p w14:paraId="311DCD53"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5F5AA9D0"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Shifting Trade Flows</w:t>
      </w:r>
    </w:p>
    <w:p w14:paraId="34318766"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International trade has fallen to its lowest level since 2009, alongside </w:t>
      </w:r>
      <w:proofErr w:type="spellStart"/>
      <w:r w:rsidRPr="00A2092C">
        <w:rPr>
          <w:rFonts w:ascii="Arial" w:hAnsi="Arial" w:cs="Arial"/>
        </w:rPr>
        <w:t>lacklustre</w:t>
      </w:r>
      <w:proofErr w:type="spellEnd"/>
      <w:r w:rsidRPr="00A2092C">
        <w:rPr>
          <w:rFonts w:ascii="Arial" w:hAnsi="Arial" w:cs="Arial"/>
        </w:rPr>
        <w:t xml:space="preserve"> economic growth. But some economists say the slowdown is not merely cyclical, and lower levels of global trade might become the new normal.</w:t>
      </w:r>
    </w:p>
    <w:p w14:paraId="6B24310A"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667A366E" w14:textId="28D1A1B8"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This is because growth in developed economies like the United States is increasingly driven by services rather than the trade in goods. China is also becoming less exposed to international trade as it shifts away from an industrial-led growth model towards consumption and services. This means Chinese companies are increasingly sourcing from within the country, instead of importing. This trend could weigh on regional trade even in the long run - a gloomy prospect for Singapore, which depends not just on its own </w:t>
      </w:r>
      <w:proofErr w:type="gramStart"/>
      <w:r w:rsidRPr="00A2092C">
        <w:rPr>
          <w:rFonts w:ascii="Arial" w:hAnsi="Arial" w:cs="Arial"/>
        </w:rPr>
        <w:t>export</w:t>
      </w:r>
      <w:r w:rsidR="008A7B52">
        <w:rPr>
          <w:rFonts w:ascii="Arial" w:hAnsi="Arial" w:cs="Arial"/>
        </w:rPr>
        <w:t xml:space="preserve"> </w:t>
      </w:r>
      <w:r w:rsidRPr="00A2092C">
        <w:rPr>
          <w:rFonts w:ascii="Arial" w:hAnsi="Arial" w:cs="Arial"/>
        </w:rPr>
        <w:t xml:space="preserve"> but</w:t>
      </w:r>
      <w:proofErr w:type="gramEnd"/>
      <w:r w:rsidRPr="00A2092C">
        <w:rPr>
          <w:rFonts w:ascii="Arial" w:hAnsi="Arial" w:cs="Arial"/>
        </w:rPr>
        <w:t xml:space="preserve"> which also does a bustling trade in re-exports.</w:t>
      </w:r>
    </w:p>
    <w:p w14:paraId="79870614"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C013197"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Disruptive Change</w:t>
      </w:r>
    </w:p>
    <w:p w14:paraId="64D83F4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Prime Minister Lee Hsien Loong said in his National Day Rally speech in August that disruptive change is the "defining challenge" facing Singapore's economy.</w:t>
      </w:r>
    </w:p>
    <w:p w14:paraId="570157D2"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6992EDE0"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Technology has transformed almost every industry - from food delivery to manufacturing. These developments have left both challenges and opportunities in their wake, most obviously in the </w:t>
      </w:r>
      <w:proofErr w:type="spellStart"/>
      <w:r w:rsidRPr="00A2092C">
        <w:rPr>
          <w:rFonts w:ascii="Arial" w:hAnsi="Arial" w:cs="Arial"/>
        </w:rPr>
        <w:t>labour</w:t>
      </w:r>
      <w:proofErr w:type="spellEnd"/>
      <w:r w:rsidRPr="00A2092C">
        <w:rPr>
          <w:rFonts w:ascii="Arial" w:hAnsi="Arial" w:cs="Arial"/>
        </w:rPr>
        <w:t xml:space="preserve"> market. There are thousands of jobs waiting to be filled in growing sectors like IT, precision engineering, education and healthcare. But many workers who have been laid off lack the necessary </w:t>
      </w:r>
      <w:proofErr w:type="spellStart"/>
      <w:r w:rsidRPr="00A2092C">
        <w:rPr>
          <w:rFonts w:ascii="Arial" w:hAnsi="Arial" w:cs="Arial"/>
        </w:rPr>
        <w:t>specialised</w:t>
      </w:r>
      <w:proofErr w:type="spellEnd"/>
      <w:r w:rsidRPr="00A2092C">
        <w:rPr>
          <w:rFonts w:ascii="Arial" w:hAnsi="Arial" w:cs="Arial"/>
        </w:rPr>
        <w:t xml:space="preserve"> skills required in these roles.</w:t>
      </w:r>
    </w:p>
    <w:p w14:paraId="44BC9B5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12A13BB2"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There is no easy solution to this - the ever-increasing pace of technological change means that jobs will </w:t>
      </w:r>
      <w:proofErr w:type="gramStart"/>
      <w:r w:rsidRPr="00A2092C">
        <w:rPr>
          <w:rFonts w:ascii="Arial" w:hAnsi="Arial" w:cs="Arial"/>
        </w:rPr>
        <w:t>more or less be</w:t>
      </w:r>
      <w:proofErr w:type="gramEnd"/>
      <w:r w:rsidRPr="00A2092C">
        <w:rPr>
          <w:rFonts w:ascii="Arial" w:hAnsi="Arial" w:cs="Arial"/>
        </w:rPr>
        <w:t xml:space="preserve"> in a constant state of flux. There is help available for laid-off workers - including the option to upgrade their skills with </w:t>
      </w:r>
      <w:proofErr w:type="spellStart"/>
      <w:r w:rsidRPr="00A2092C">
        <w:rPr>
          <w:rFonts w:ascii="Arial" w:hAnsi="Arial" w:cs="Arial"/>
        </w:rPr>
        <w:t>SkillsFuture</w:t>
      </w:r>
      <w:proofErr w:type="spellEnd"/>
      <w:r w:rsidRPr="00A2092C">
        <w:rPr>
          <w:rFonts w:ascii="Arial" w:hAnsi="Arial" w:cs="Arial"/>
        </w:rPr>
        <w:t xml:space="preserve">, or </w:t>
      </w:r>
      <w:proofErr w:type="spellStart"/>
      <w:r w:rsidRPr="00A2092C">
        <w:rPr>
          <w:rFonts w:ascii="Arial" w:hAnsi="Arial" w:cs="Arial"/>
        </w:rPr>
        <w:t>programmes</w:t>
      </w:r>
      <w:proofErr w:type="spellEnd"/>
      <w:r w:rsidRPr="00A2092C">
        <w:rPr>
          <w:rFonts w:ascii="Arial" w:hAnsi="Arial" w:cs="Arial"/>
        </w:rPr>
        <w:t xml:space="preserve"> which help mid-career workers move to industries with the potential to grow. But companies and workers also have a part to play - both in terms of skills upgrading and shifting mindsets.</w:t>
      </w:r>
    </w:p>
    <w:p w14:paraId="4E7BC746" w14:textId="77777777" w:rsidR="00A2092C" w:rsidRPr="00A2092C" w:rsidRDefault="00A2092C" w:rsidP="00A2092C">
      <w:pPr>
        <w:jc w:val="both"/>
        <w:rPr>
          <w:rFonts w:ascii="Arial" w:hAnsi="Arial" w:cs="Arial"/>
          <w:lang w:val="en-SG"/>
        </w:rPr>
      </w:pPr>
    </w:p>
    <w:p w14:paraId="7D989753" w14:textId="77777777" w:rsidR="00A2092C" w:rsidRPr="00A2092C" w:rsidRDefault="00A2092C" w:rsidP="00A2092C">
      <w:pPr>
        <w:jc w:val="right"/>
        <w:rPr>
          <w:rFonts w:ascii="Arial" w:hAnsi="Arial" w:cs="Arial"/>
          <w:lang w:val="en-SG"/>
        </w:rPr>
      </w:pPr>
      <w:r w:rsidRPr="00A2092C">
        <w:rPr>
          <w:rFonts w:ascii="Arial" w:hAnsi="Arial" w:cs="Arial"/>
          <w:lang w:val="en-SG"/>
        </w:rPr>
        <w:t>Source: The Straits Times, 30 October 2016</w:t>
      </w:r>
    </w:p>
    <w:p w14:paraId="61F2559E" w14:textId="77777777" w:rsidR="004A3600" w:rsidRDefault="004A3600" w:rsidP="00A2092C">
      <w:pPr>
        <w:rPr>
          <w:rFonts w:ascii="Arial" w:hAnsi="Arial" w:cs="Arial"/>
          <w:b/>
          <w:bCs/>
          <w:sz w:val="22"/>
          <w:szCs w:val="22"/>
          <w:shd w:val="clear" w:color="auto" w:fill="FFFFFF"/>
        </w:rPr>
      </w:pPr>
    </w:p>
    <w:p w14:paraId="28CB8204" w14:textId="77777777" w:rsidR="004A3600" w:rsidRDefault="004A3600" w:rsidP="00A2092C">
      <w:pPr>
        <w:rPr>
          <w:rFonts w:ascii="Arial" w:hAnsi="Arial" w:cs="Arial"/>
          <w:b/>
          <w:bCs/>
          <w:sz w:val="22"/>
          <w:szCs w:val="22"/>
          <w:shd w:val="clear" w:color="auto" w:fill="FFFFFF"/>
        </w:rPr>
      </w:pPr>
    </w:p>
    <w:p w14:paraId="22479159" w14:textId="77777777" w:rsidR="004A3600" w:rsidRDefault="004A3600" w:rsidP="00A2092C">
      <w:pPr>
        <w:rPr>
          <w:rFonts w:ascii="Arial" w:hAnsi="Arial" w:cs="Arial"/>
          <w:b/>
          <w:bCs/>
          <w:sz w:val="22"/>
          <w:szCs w:val="22"/>
          <w:shd w:val="clear" w:color="auto" w:fill="FFFFFF"/>
        </w:rPr>
      </w:pPr>
    </w:p>
    <w:p w14:paraId="2E9FB828" w14:textId="77777777" w:rsidR="004A3600" w:rsidRDefault="004A3600" w:rsidP="00A2092C">
      <w:pPr>
        <w:rPr>
          <w:rFonts w:ascii="Arial" w:hAnsi="Arial" w:cs="Arial"/>
          <w:b/>
          <w:bCs/>
          <w:sz w:val="22"/>
          <w:szCs w:val="22"/>
          <w:shd w:val="clear" w:color="auto" w:fill="FFFFFF"/>
        </w:rPr>
      </w:pPr>
    </w:p>
    <w:p w14:paraId="4068B28B" w14:textId="77777777" w:rsidR="004A3600" w:rsidRDefault="004A3600" w:rsidP="00A2092C">
      <w:pPr>
        <w:rPr>
          <w:rFonts w:ascii="Arial" w:hAnsi="Arial" w:cs="Arial"/>
          <w:b/>
          <w:bCs/>
          <w:sz w:val="22"/>
          <w:szCs w:val="22"/>
          <w:shd w:val="clear" w:color="auto" w:fill="FFFFFF"/>
        </w:rPr>
      </w:pPr>
    </w:p>
    <w:p w14:paraId="0B965A70" w14:textId="77777777" w:rsidR="004A3600" w:rsidRDefault="004A3600" w:rsidP="00A2092C">
      <w:pPr>
        <w:rPr>
          <w:rFonts w:ascii="Arial" w:hAnsi="Arial" w:cs="Arial"/>
          <w:b/>
          <w:bCs/>
          <w:sz w:val="22"/>
          <w:szCs w:val="22"/>
          <w:shd w:val="clear" w:color="auto" w:fill="FFFFFF"/>
        </w:rPr>
      </w:pPr>
    </w:p>
    <w:p w14:paraId="2218294C" w14:textId="77777777" w:rsidR="004A3600" w:rsidRDefault="004A3600" w:rsidP="00A2092C">
      <w:pPr>
        <w:rPr>
          <w:rFonts w:ascii="Arial" w:hAnsi="Arial" w:cs="Arial"/>
          <w:b/>
          <w:bCs/>
          <w:sz w:val="22"/>
          <w:szCs w:val="22"/>
          <w:shd w:val="clear" w:color="auto" w:fill="FFFFFF"/>
        </w:rPr>
      </w:pPr>
    </w:p>
    <w:p w14:paraId="13F4FB57" w14:textId="77777777" w:rsidR="004A3600" w:rsidRDefault="004A3600" w:rsidP="00A2092C">
      <w:pPr>
        <w:rPr>
          <w:rFonts w:ascii="Arial" w:hAnsi="Arial" w:cs="Arial"/>
          <w:b/>
          <w:bCs/>
          <w:sz w:val="22"/>
          <w:szCs w:val="22"/>
          <w:shd w:val="clear" w:color="auto" w:fill="FFFFFF"/>
        </w:rPr>
      </w:pPr>
    </w:p>
    <w:p w14:paraId="385AEAF5" w14:textId="77777777" w:rsidR="004A3600" w:rsidRDefault="004A3600" w:rsidP="00A2092C">
      <w:pPr>
        <w:rPr>
          <w:rFonts w:ascii="Arial" w:hAnsi="Arial" w:cs="Arial"/>
          <w:b/>
          <w:bCs/>
          <w:sz w:val="22"/>
          <w:szCs w:val="22"/>
          <w:shd w:val="clear" w:color="auto" w:fill="FFFFFF"/>
        </w:rPr>
      </w:pPr>
    </w:p>
    <w:p w14:paraId="12F4953E" w14:textId="77777777" w:rsidR="004A3600" w:rsidRDefault="004A3600" w:rsidP="00A2092C">
      <w:pPr>
        <w:rPr>
          <w:rFonts w:ascii="Arial" w:hAnsi="Arial" w:cs="Arial"/>
          <w:b/>
          <w:bCs/>
          <w:sz w:val="22"/>
          <w:szCs w:val="22"/>
          <w:shd w:val="clear" w:color="auto" w:fill="FFFFFF"/>
        </w:rPr>
      </w:pPr>
    </w:p>
    <w:p w14:paraId="4C0E3600" w14:textId="77777777" w:rsidR="004A3600" w:rsidRDefault="004A3600" w:rsidP="00A2092C">
      <w:pPr>
        <w:rPr>
          <w:rFonts w:ascii="Arial" w:hAnsi="Arial" w:cs="Arial"/>
          <w:b/>
          <w:bCs/>
          <w:sz w:val="22"/>
          <w:szCs w:val="22"/>
          <w:shd w:val="clear" w:color="auto" w:fill="FFFFFF"/>
        </w:rPr>
      </w:pPr>
    </w:p>
    <w:p w14:paraId="583A8CF8" w14:textId="77777777" w:rsidR="004A3600" w:rsidRDefault="004A3600" w:rsidP="00A2092C">
      <w:pPr>
        <w:rPr>
          <w:rFonts w:ascii="Arial" w:hAnsi="Arial" w:cs="Arial"/>
          <w:b/>
          <w:bCs/>
          <w:sz w:val="22"/>
          <w:szCs w:val="22"/>
          <w:shd w:val="clear" w:color="auto" w:fill="FFFFFF"/>
        </w:rPr>
      </w:pPr>
    </w:p>
    <w:p w14:paraId="593EE04E" w14:textId="77777777" w:rsidR="00A2092C" w:rsidRPr="00A2092C" w:rsidRDefault="00A2092C" w:rsidP="00A2092C">
      <w:pPr>
        <w:rPr>
          <w:rFonts w:ascii="Arial" w:hAnsi="Arial" w:cs="Arial"/>
          <w:b/>
          <w:bCs/>
          <w:sz w:val="22"/>
          <w:szCs w:val="22"/>
          <w:shd w:val="clear" w:color="auto" w:fill="FFFFFF"/>
        </w:rPr>
      </w:pPr>
      <w:r w:rsidRPr="00A2092C">
        <w:rPr>
          <w:rFonts w:ascii="Arial" w:hAnsi="Arial" w:cs="Arial"/>
          <w:b/>
          <w:bCs/>
          <w:sz w:val="22"/>
          <w:szCs w:val="22"/>
          <w:shd w:val="clear" w:color="auto" w:fill="FFFFFF"/>
        </w:rPr>
        <w:t>Questions</w:t>
      </w:r>
    </w:p>
    <w:p w14:paraId="5C3004D9" w14:textId="77777777" w:rsidR="00A2092C" w:rsidRPr="00A2092C" w:rsidRDefault="00A2092C" w:rsidP="00A2092C">
      <w:pPr>
        <w:rPr>
          <w:rFonts w:ascii="Arial" w:hAnsi="Arial" w:cs="Arial"/>
          <w:bCs/>
          <w:sz w:val="22"/>
          <w:szCs w:val="22"/>
          <w:shd w:val="clear" w:color="auto" w:fill="FFFFFF"/>
        </w:rPr>
      </w:pPr>
    </w:p>
    <w:tbl>
      <w:tblPr>
        <w:tblStyle w:val="TableGrid"/>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517"/>
        <w:gridCol w:w="7398"/>
        <w:gridCol w:w="650"/>
      </w:tblGrid>
      <w:tr w:rsidR="00A2092C" w:rsidRPr="00A2092C" w14:paraId="767617CC" w14:textId="77777777" w:rsidTr="00193BE0">
        <w:trPr>
          <w:trHeight w:val="395"/>
        </w:trPr>
        <w:tc>
          <w:tcPr>
            <w:tcW w:w="515" w:type="dxa"/>
          </w:tcPr>
          <w:p w14:paraId="3936E3FB"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(a)</w:t>
            </w:r>
          </w:p>
        </w:tc>
        <w:tc>
          <w:tcPr>
            <w:tcW w:w="7915" w:type="dxa"/>
            <w:gridSpan w:val="2"/>
          </w:tcPr>
          <w:p w14:paraId="09D4E449"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Using data from Table 1,</w:t>
            </w:r>
          </w:p>
        </w:tc>
        <w:tc>
          <w:tcPr>
            <w:tcW w:w="650" w:type="dxa"/>
          </w:tcPr>
          <w:p w14:paraId="47467EAA" w14:textId="77777777" w:rsidR="00A2092C" w:rsidRPr="00A2092C" w:rsidRDefault="00A2092C" w:rsidP="00193BE0">
            <w:pPr>
              <w:ind w:right="440"/>
              <w:rPr>
                <w:rFonts w:ascii="Arial" w:hAnsi="Arial" w:cs="Arial"/>
                <w:sz w:val="22"/>
                <w:szCs w:val="22"/>
              </w:rPr>
            </w:pPr>
          </w:p>
        </w:tc>
      </w:tr>
      <w:tr w:rsidR="00A2092C" w:rsidRPr="00A2092C" w14:paraId="3F7E5E4D" w14:textId="77777777" w:rsidTr="00193BE0">
        <w:trPr>
          <w:trHeight w:val="237"/>
        </w:trPr>
        <w:tc>
          <w:tcPr>
            <w:tcW w:w="515" w:type="dxa"/>
          </w:tcPr>
          <w:p w14:paraId="2B7BD75C" w14:textId="77777777" w:rsidR="00A2092C" w:rsidRPr="00A2092C" w:rsidRDefault="00A2092C" w:rsidP="00193BE0">
            <w:pPr>
              <w:jc w:val="center"/>
              <w:rPr>
                <w:rFonts w:ascii="Arial" w:hAnsi="Arial" w:cs="Arial"/>
                <w:b/>
                <w:bCs/>
                <w:sz w:val="22"/>
                <w:szCs w:val="22"/>
              </w:rPr>
            </w:pPr>
          </w:p>
        </w:tc>
        <w:tc>
          <w:tcPr>
            <w:tcW w:w="517" w:type="dxa"/>
          </w:tcPr>
          <w:p w14:paraId="4901ADC7" w14:textId="77777777" w:rsidR="00A2092C" w:rsidRPr="00A2092C" w:rsidRDefault="00A2092C" w:rsidP="00193BE0">
            <w:pPr>
              <w:jc w:val="center"/>
              <w:rPr>
                <w:rFonts w:ascii="Arial" w:hAnsi="Arial" w:cs="Arial"/>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60747E76"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Compare the balance of trade position of UK, China and Singapore.</w:t>
            </w:r>
          </w:p>
        </w:tc>
        <w:tc>
          <w:tcPr>
            <w:tcW w:w="650" w:type="dxa"/>
          </w:tcPr>
          <w:p w14:paraId="70246688"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[2]</w:t>
            </w:r>
          </w:p>
        </w:tc>
      </w:tr>
      <w:tr w:rsidR="00A2092C" w:rsidRPr="00A2092C" w14:paraId="7FAE4CD1" w14:textId="77777777" w:rsidTr="00193BE0">
        <w:trPr>
          <w:trHeight w:val="237"/>
        </w:trPr>
        <w:tc>
          <w:tcPr>
            <w:tcW w:w="515" w:type="dxa"/>
          </w:tcPr>
          <w:p w14:paraId="6DF48337" w14:textId="77777777" w:rsidR="00A2092C" w:rsidRPr="00A2092C" w:rsidRDefault="00A2092C" w:rsidP="00193BE0">
            <w:pPr>
              <w:jc w:val="center"/>
              <w:rPr>
                <w:rFonts w:ascii="Arial" w:hAnsi="Arial" w:cs="Arial"/>
                <w:b/>
                <w:bCs/>
                <w:sz w:val="22"/>
                <w:szCs w:val="22"/>
              </w:rPr>
            </w:pPr>
          </w:p>
        </w:tc>
        <w:tc>
          <w:tcPr>
            <w:tcW w:w="517" w:type="dxa"/>
          </w:tcPr>
          <w:p w14:paraId="585ACD9D" w14:textId="77777777" w:rsidR="00A2092C" w:rsidRPr="00A2092C" w:rsidRDefault="00A2092C" w:rsidP="00193BE0">
            <w:pPr>
              <w:jc w:val="center"/>
              <w:rPr>
                <w:rFonts w:ascii="Arial" w:hAnsi="Arial" w:cs="Arial"/>
                <w:sz w:val="22"/>
                <w:szCs w:val="22"/>
              </w:rPr>
            </w:pPr>
          </w:p>
        </w:tc>
        <w:tc>
          <w:tcPr>
            <w:tcW w:w="7398" w:type="dxa"/>
          </w:tcPr>
          <w:p w14:paraId="2E8EEAF6" w14:textId="77777777" w:rsidR="00A2092C" w:rsidRPr="00A2092C" w:rsidRDefault="00A2092C" w:rsidP="00193BE0">
            <w:pPr>
              <w:jc w:val="both"/>
              <w:rPr>
                <w:rFonts w:ascii="Arial" w:hAnsi="Arial" w:cs="Arial"/>
                <w:sz w:val="22"/>
                <w:szCs w:val="22"/>
              </w:rPr>
            </w:pPr>
          </w:p>
        </w:tc>
        <w:tc>
          <w:tcPr>
            <w:tcW w:w="650" w:type="dxa"/>
          </w:tcPr>
          <w:p w14:paraId="3BD89A90" w14:textId="77777777" w:rsidR="00A2092C" w:rsidRPr="00A2092C" w:rsidRDefault="00A2092C" w:rsidP="00193BE0">
            <w:pPr>
              <w:jc w:val="right"/>
              <w:rPr>
                <w:rFonts w:ascii="Arial" w:hAnsi="Arial" w:cs="Arial"/>
                <w:sz w:val="22"/>
                <w:szCs w:val="22"/>
              </w:rPr>
            </w:pPr>
          </w:p>
        </w:tc>
      </w:tr>
      <w:tr w:rsidR="00A2092C" w:rsidRPr="00A2092C" w14:paraId="6ADA2F3F" w14:textId="77777777" w:rsidTr="00193BE0">
        <w:trPr>
          <w:trHeight w:val="264"/>
        </w:trPr>
        <w:tc>
          <w:tcPr>
            <w:tcW w:w="515" w:type="dxa"/>
          </w:tcPr>
          <w:p w14:paraId="5CC5EB34" w14:textId="77777777" w:rsidR="00A2092C" w:rsidRPr="00A2092C" w:rsidRDefault="00A2092C" w:rsidP="00193BE0">
            <w:pPr>
              <w:jc w:val="center"/>
              <w:rPr>
                <w:rFonts w:ascii="Arial" w:hAnsi="Arial" w:cs="Arial"/>
                <w:b/>
                <w:bCs/>
                <w:sz w:val="22"/>
                <w:szCs w:val="22"/>
              </w:rPr>
            </w:pPr>
          </w:p>
        </w:tc>
        <w:tc>
          <w:tcPr>
            <w:tcW w:w="517" w:type="dxa"/>
          </w:tcPr>
          <w:p w14:paraId="2FDD1EB5"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50EFC00C" w14:textId="77777777" w:rsidR="00A2092C" w:rsidRPr="00A2092C" w:rsidRDefault="00A2092C" w:rsidP="00193BE0">
            <w:pPr>
              <w:tabs>
                <w:tab w:val="left" w:pos="993"/>
              </w:tabs>
              <w:jc w:val="both"/>
              <w:rPr>
                <w:rFonts w:ascii="Arial" w:hAnsi="Arial" w:cs="Arial"/>
                <w:sz w:val="22"/>
                <w:szCs w:val="22"/>
              </w:rPr>
            </w:pPr>
            <w:r w:rsidRPr="00A2092C">
              <w:rPr>
                <w:rFonts w:ascii="Arial" w:hAnsi="Arial" w:cs="Arial"/>
                <w:sz w:val="22"/>
                <w:szCs w:val="22"/>
              </w:rPr>
              <w:t xml:space="preserve">Comment on the view that the Chinese economy performed well in 2015. </w:t>
            </w:r>
          </w:p>
        </w:tc>
        <w:tc>
          <w:tcPr>
            <w:tcW w:w="650" w:type="dxa"/>
          </w:tcPr>
          <w:p w14:paraId="18A77257"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[3]</w:t>
            </w:r>
          </w:p>
        </w:tc>
      </w:tr>
      <w:tr w:rsidR="00A2092C" w:rsidRPr="00A2092C" w14:paraId="3A225C87" w14:textId="77777777" w:rsidTr="00193BE0">
        <w:trPr>
          <w:trHeight w:val="237"/>
        </w:trPr>
        <w:tc>
          <w:tcPr>
            <w:tcW w:w="515" w:type="dxa"/>
          </w:tcPr>
          <w:p w14:paraId="4F537434" w14:textId="77777777" w:rsidR="00A2092C" w:rsidRPr="00A2092C" w:rsidRDefault="00A2092C" w:rsidP="00193BE0">
            <w:pPr>
              <w:jc w:val="center"/>
              <w:rPr>
                <w:rFonts w:ascii="Arial" w:hAnsi="Arial" w:cs="Arial"/>
                <w:b/>
                <w:bCs/>
                <w:sz w:val="22"/>
                <w:szCs w:val="22"/>
              </w:rPr>
            </w:pPr>
          </w:p>
        </w:tc>
        <w:tc>
          <w:tcPr>
            <w:tcW w:w="517" w:type="dxa"/>
          </w:tcPr>
          <w:p w14:paraId="4F9DD385" w14:textId="77777777" w:rsidR="00A2092C" w:rsidRPr="00A2092C" w:rsidRDefault="00A2092C" w:rsidP="00193BE0">
            <w:pPr>
              <w:jc w:val="center"/>
              <w:rPr>
                <w:rFonts w:ascii="Arial" w:hAnsi="Arial" w:cs="Arial"/>
                <w:b/>
                <w:bCs/>
                <w:sz w:val="22"/>
                <w:szCs w:val="22"/>
              </w:rPr>
            </w:pPr>
          </w:p>
        </w:tc>
        <w:tc>
          <w:tcPr>
            <w:tcW w:w="7398" w:type="dxa"/>
          </w:tcPr>
          <w:p w14:paraId="74C86CFB" w14:textId="77777777" w:rsidR="00A2092C" w:rsidRPr="00A2092C" w:rsidRDefault="00A2092C" w:rsidP="00193BE0">
            <w:pPr>
              <w:tabs>
                <w:tab w:val="left" w:pos="993"/>
              </w:tabs>
              <w:jc w:val="both"/>
              <w:rPr>
                <w:rFonts w:ascii="Arial" w:hAnsi="Arial" w:cs="Arial"/>
                <w:sz w:val="22"/>
                <w:szCs w:val="22"/>
              </w:rPr>
            </w:pPr>
          </w:p>
        </w:tc>
        <w:tc>
          <w:tcPr>
            <w:tcW w:w="650" w:type="dxa"/>
          </w:tcPr>
          <w:p w14:paraId="4809C6F4" w14:textId="77777777" w:rsidR="00A2092C" w:rsidRPr="00A2092C" w:rsidRDefault="00A2092C" w:rsidP="00193BE0">
            <w:pPr>
              <w:jc w:val="right"/>
              <w:rPr>
                <w:rFonts w:ascii="Arial" w:hAnsi="Arial" w:cs="Arial"/>
                <w:sz w:val="22"/>
                <w:szCs w:val="22"/>
              </w:rPr>
            </w:pPr>
          </w:p>
        </w:tc>
      </w:tr>
      <w:tr w:rsidR="00A2092C" w:rsidRPr="00A2092C" w14:paraId="7DDDDE57" w14:textId="77777777" w:rsidTr="00193BE0">
        <w:trPr>
          <w:trHeight w:val="522"/>
        </w:trPr>
        <w:tc>
          <w:tcPr>
            <w:tcW w:w="515" w:type="dxa"/>
          </w:tcPr>
          <w:p w14:paraId="5344715F"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(b)</w:t>
            </w:r>
          </w:p>
        </w:tc>
        <w:tc>
          <w:tcPr>
            <w:tcW w:w="517" w:type="dxa"/>
          </w:tcPr>
          <w:p w14:paraId="03BE2A8C" w14:textId="77777777" w:rsidR="00A2092C" w:rsidRPr="00A2092C" w:rsidRDefault="00A2092C" w:rsidP="00193BE0">
            <w:pPr>
              <w:jc w:val="center"/>
              <w:rPr>
                <w:rFonts w:ascii="Arial" w:hAnsi="Arial" w:cs="Arial"/>
                <w:b/>
                <w:bCs/>
                <w:sz w:val="22"/>
                <w:szCs w:val="22"/>
              </w:rPr>
            </w:pPr>
          </w:p>
        </w:tc>
        <w:tc>
          <w:tcPr>
            <w:tcW w:w="7398" w:type="dxa"/>
          </w:tcPr>
          <w:p w14:paraId="3172F8F4" w14:textId="77777777" w:rsidR="00A2092C" w:rsidRPr="00A2092C" w:rsidRDefault="00A2092C" w:rsidP="00193BE0">
            <w:pPr>
              <w:tabs>
                <w:tab w:val="left" w:pos="993"/>
              </w:tabs>
              <w:jc w:val="both"/>
              <w:rPr>
                <w:rFonts w:ascii="Arial" w:hAnsi="Arial" w:cs="Arial"/>
                <w:sz w:val="22"/>
                <w:szCs w:val="22"/>
              </w:rPr>
            </w:pPr>
            <w:r w:rsidRPr="00A2092C">
              <w:rPr>
                <w:rFonts w:ascii="Arial" w:hAnsi="Arial" w:cs="Arial"/>
                <w:sz w:val="22"/>
                <w:szCs w:val="22"/>
              </w:rPr>
              <w:t>Using data from Extract 1 and Table 2, explain and compare how ’weaker household spending and worries about the global outlook’ in the UK may impact the balance of trade for China and Singapore.</w:t>
            </w:r>
          </w:p>
        </w:tc>
        <w:tc>
          <w:tcPr>
            <w:tcW w:w="650" w:type="dxa"/>
          </w:tcPr>
          <w:p w14:paraId="22C5760B" w14:textId="77777777" w:rsidR="00A2092C" w:rsidRPr="00A2092C" w:rsidRDefault="00A2092C" w:rsidP="00193BE0">
            <w:pPr>
              <w:jc w:val="right"/>
              <w:rPr>
                <w:rFonts w:ascii="Arial" w:hAnsi="Arial" w:cs="Arial"/>
                <w:sz w:val="22"/>
                <w:szCs w:val="22"/>
              </w:rPr>
            </w:pPr>
          </w:p>
          <w:p w14:paraId="0C4E4FD4" w14:textId="77777777" w:rsidR="00A2092C" w:rsidRPr="00A2092C" w:rsidRDefault="00A2092C" w:rsidP="00193BE0">
            <w:pPr>
              <w:jc w:val="right"/>
              <w:rPr>
                <w:rFonts w:ascii="Arial" w:hAnsi="Arial" w:cs="Arial"/>
                <w:sz w:val="22"/>
                <w:szCs w:val="22"/>
              </w:rPr>
            </w:pPr>
          </w:p>
          <w:p w14:paraId="33592499"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[4]</w:t>
            </w:r>
          </w:p>
        </w:tc>
      </w:tr>
      <w:tr w:rsidR="00A2092C" w:rsidRPr="00A2092C" w14:paraId="6B2BE98A" w14:textId="77777777" w:rsidTr="00193BE0">
        <w:trPr>
          <w:trHeight w:val="237"/>
        </w:trPr>
        <w:tc>
          <w:tcPr>
            <w:tcW w:w="515" w:type="dxa"/>
          </w:tcPr>
          <w:p w14:paraId="43A7AADD" w14:textId="77777777" w:rsidR="00A2092C" w:rsidRPr="00A2092C" w:rsidRDefault="00A2092C" w:rsidP="00193BE0">
            <w:pPr>
              <w:jc w:val="center"/>
              <w:rPr>
                <w:rFonts w:ascii="Arial" w:hAnsi="Arial" w:cs="Arial"/>
                <w:b/>
                <w:bCs/>
                <w:sz w:val="22"/>
                <w:szCs w:val="22"/>
              </w:rPr>
            </w:pPr>
          </w:p>
        </w:tc>
        <w:tc>
          <w:tcPr>
            <w:tcW w:w="517" w:type="dxa"/>
          </w:tcPr>
          <w:p w14:paraId="1252B27C" w14:textId="77777777" w:rsidR="00A2092C" w:rsidRPr="00A2092C" w:rsidRDefault="00A2092C" w:rsidP="00193BE0">
            <w:pPr>
              <w:jc w:val="center"/>
              <w:rPr>
                <w:rFonts w:ascii="Arial" w:hAnsi="Arial" w:cs="Arial"/>
                <w:b/>
                <w:bCs/>
                <w:sz w:val="22"/>
                <w:szCs w:val="22"/>
              </w:rPr>
            </w:pPr>
          </w:p>
        </w:tc>
        <w:tc>
          <w:tcPr>
            <w:tcW w:w="7398" w:type="dxa"/>
          </w:tcPr>
          <w:p w14:paraId="0995FC7E" w14:textId="77777777" w:rsidR="00A2092C" w:rsidRPr="00A2092C" w:rsidRDefault="00A2092C" w:rsidP="00193BE0">
            <w:pPr>
              <w:tabs>
                <w:tab w:val="left" w:pos="993"/>
              </w:tabs>
              <w:jc w:val="both"/>
              <w:rPr>
                <w:rFonts w:ascii="Arial" w:hAnsi="Arial" w:cs="Arial"/>
                <w:sz w:val="22"/>
                <w:szCs w:val="22"/>
              </w:rPr>
            </w:pPr>
          </w:p>
        </w:tc>
        <w:tc>
          <w:tcPr>
            <w:tcW w:w="650" w:type="dxa"/>
          </w:tcPr>
          <w:p w14:paraId="5A041F26" w14:textId="77777777" w:rsidR="00A2092C" w:rsidRPr="00A2092C" w:rsidRDefault="00A2092C" w:rsidP="00193BE0">
            <w:pPr>
              <w:jc w:val="right"/>
              <w:rPr>
                <w:rFonts w:ascii="Arial" w:hAnsi="Arial" w:cs="Arial"/>
                <w:sz w:val="22"/>
                <w:szCs w:val="22"/>
              </w:rPr>
            </w:pPr>
          </w:p>
        </w:tc>
      </w:tr>
      <w:tr w:rsidR="00A2092C" w:rsidRPr="00A2092C" w14:paraId="24859360" w14:textId="77777777" w:rsidTr="00193BE0">
        <w:trPr>
          <w:trHeight w:val="258"/>
        </w:trPr>
        <w:tc>
          <w:tcPr>
            <w:tcW w:w="515" w:type="dxa"/>
          </w:tcPr>
          <w:p w14:paraId="0EAB5330"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(c)</w:t>
            </w:r>
          </w:p>
        </w:tc>
        <w:tc>
          <w:tcPr>
            <w:tcW w:w="517" w:type="dxa"/>
          </w:tcPr>
          <w:p w14:paraId="5DA31C3F"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557F857C"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Explain what is meant by a budget deficit. </w:t>
            </w:r>
          </w:p>
        </w:tc>
        <w:tc>
          <w:tcPr>
            <w:tcW w:w="650" w:type="dxa"/>
          </w:tcPr>
          <w:p w14:paraId="1830D5C5"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[1]</w:t>
            </w:r>
          </w:p>
        </w:tc>
      </w:tr>
      <w:tr w:rsidR="00A2092C" w:rsidRPr="00A2092C" w14:paraId="1D1B4263" w14:textId="77777777" w:rsidTr="00193BE0">
        <w:trPr>
          <w:trHeight w:val="237"/>
        </w:trPr>
        <w:tc>
          <w:tcPr>
            <w:tcW w:w="515" w:type="dxa"/>
          </w:tcPr>
          <w:p w14:paraId="3373952E" w14:textId="77777777" w:rsidR="00A2092C" w:rsidRPr="00A2092C" w:rsidRDefault="00A2092C" w:rsidP="00193BE0">
            <w:pPr>
              <w:jc w:val="center"/>
              <w:rPr>
                <w:rFonts w:ascii="Arial" w:hAnsi="Arial" w:cs="Arial"/>
                <w:b/>
                <w:bCs/>
                <w:sz w:val="22"/>
                <w:szCs w:val="22"/>
              </w:rPr>
            </w:pPr>
          </w:p>
        </w:tc>
        <w:tc>
          <w:tcPr>
            <w:tcW w:w="517" w:type="dxa"/>
          </w:tcPr>
          <w:p w14:paraId="742ECE3D" w14:textId="77777777" w:rsidR="00A2092C" w:rsidRPr="00A2092C" w:rsidRDefault="00A2092C" w:rsidP="00193BE0">
            <w:pPr>
              <w:jc w:val="center"/>
              <w:rPr>
                <w:rFonts w:ascii="Arial" w:hAnsi="Arial" w:cs="Arial"/>
                <w:b/>
                <w:bCs/>
                <w:sz w:val="22"/>
                <w:szCs w:val="22"/>
              </w:rPr>
            </w:pPr>
          </w:p>
        </w:tc>
        <w:tc>
          <w:tcPr>
            <w:tcW w:w="7398" w:type="dxa"/>
          </w:tcPr>
          <w:p w14:paraId="42AAF3C5" w14:textId="77777777" w:rsidR="00A2092C" w:rsidRPr="00A2092C" w:rsidRDefault="00A2092C" w:rsidP="00193BE0">
            <w:pPr>
              <w:jc w:val="both"/>
              <w:rPr>
                <w:rFonts w:ascii="Arial" w:hAnsi="Arial" w:cs="Arial"/>
                <w:sz w:val="22"/>
                <w:szCs w:val="22"/>
              </w:rPr>
            </w:pPr>
          </w:p>
        </w:tc>
        <w:tc>
          <w:tcPr>
            <w:tcW w:w="650" w:type="dxa"/>
          </w:tcPr>
          <w:p w14:paraId="33569EEA" w14:textId="77777777" w:rsidR="00A2092C" w:rsidRPr="00A2092C" w:rsidRDefault="00A2092C" w:rsidP="00193BE0">
            <w:pPr>
              <w:jc w:val="right"/>
              <w:rPr>
                <w:rFonts w:ascii="Arial" w:hAnsi="Arial" w:cs="Arial"/>
                <w:sz w:val="22"/>
                <w:szCs w:val="22"/>
              </w:rPr>
            </w:pPr>
          </w:p>
        </w:tc>
      </w:tr>
      <w:tr w:rsidR="00A2092C" w:rsidRPr="00A2092C" w14:paraId="57465FA0" w14:textId="77777777" w:rsidTr="00193BE0">
        <w:trPr>
          <w:trHeight w:val="522"/>
        </w:trPr>
        <w:tc>
          <w:tcPr>
            <w:tcW w:w="515" w:type="dxa"/>
          </w:tcPr>
          <w:p w14:paraId="39CE9F77" w14:textId="77777777" w:rsidR="00A2092C" w:rsidRPr="00A2092C" w:rsidRDefault="00A2092C" w:rsidP="00193BE0">
            <w:pPr>
              <w:jc w:val="center"/>
              <w:rPr>
                <w:rFonts w:ascii="Arial" w:hAnsi="Arial" w:cs="Arial"/>
                <w:b/>
                <w:bCs/>
                <w:sz w:val="22"/>
                <w:szCs w:val="22"/>
              </w:rPr>
            </w:pPr>
          </w:p>
        </w:tc>
        <w:tc>
          <w:tcPr>
            <w:tcW w:w="517" w:type="dxa"/>
          </w:tcPr>
          <w:p w14:paraId="46C8675B"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1131E0B5"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Using the concept of the circular flow of income, explain how ‘expanding its budget deficit’ (Extract 2) will affect the equilibrium level of national income in China. </w:t>
            </w:r>
          </w:p>
        </w:tc>
        <w:tc>
          <w:tcPr>
            <w:tcW w:w="650" w:type="dxa"/>
          </w:tcPr>
          <w:p w14:paraId="418640A4" w14:textId="77777777" w:rsidR="00A2092C" w:rsidRPr="00A2092C" w:rsidRDefault="00A2092C" w:rsidP="00193BE0">
            <w:pPr>
              <w:jc w:val="right"/>
              <w:rPr>
                <w:rFonts w:ascii="Arial" w:hAnsi="Arial" w:cs="Arial"/>
                <w:sz w:val="22"/>
                <w:szCs w:val="22"/>
              </w:rPr>
            </w:pPr>
          </w:p>
          <w:p w14:paraId="566AB8F4"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[4]</w:t>
            </w:r>
          </w:p>
        </w:tc>
      </w:tr>
      <w:tr w:rsidR="00A2092C" w:rsidRPr="00A2092C" w14:paraId="30377F7C" w14:textId="77777777" w:rsidTr="00193BE0">
        <w:trPr>
          <w:trHeight w:val="237"/>
        </w:trPr>
        <w:tc>
          <w:tcPr>
            <w:tcW w:w="515" w:type="dxa"/>
          </w:tcPr>
          <w:p w14:paraId="41CF680C" w14:textId="77777777" w:rsidR="00A2092C" w:rsidRPr="00A2092C" w:rsidRDefault="00A2092C" w:rsidP="00193BE0">
            <w:pPr>
              <w:jc w:val="center"/>
              <w:rPr>
                <w:rFonts w:ascii="Arial" w:hAnsi="Arial" w:cs="Arial"/>
                <w:b/>
                <w:bCs/>
                <w:sz w:val="22"/>
                <w:szCs w:val="22"/>
              </w:rPr>
            </w:pPr>
          </w:p>
        </w:tc>
        <w:tc>
          <w:tcPr>
            <w:tcW w:w="517" w:type="dxa"/>
          </w:tcPr>
          <w:p w14:paraId="4CD775EA" w14:textId="77777777" w:rsidR="00A2092C" w:rsidRPr="00A2092C" w:rsidRDefault="00A2092C" w:rsidP="00193BE0">
            <w:pPr>
              <w:jc w:val="center"/>
              <w:rPr>
                <w:rFonts w:ascii="Arial" w:hAnsi="Arial" w:cs="Arial"/>
                <w:b/>
                <w:bCs/>
                <w:sz w:val="22"/>
                <w:szCs w:val="22"/>
              </w:rPr>
            </w:pPr>
          </w:p>
        </w:tc>
        <w:tc>
          <w:tcPr>
            <w:tcW w:w="7398" w:type="dxa"/>
          </w:tcPr>
          <w:p w14:paraId="00D37EE2" w14:textId="77777777" w:rsidR="00A2092C" w:rsidRPr="00A2092C" w:rsidRDefault="00A2092C" w:rsidP="00193BE0">
            <w:pPr>
              <w:jc w:val="both"/>
              <w:rPr>
                <w:rFonts w:ascii="Arial" w:hAnsi="Arial" w:cs="Arial"/>
                <w:sz w:val="22"/>
                <w:szCs w:val="22"/>
              </w:rPr>
            </w:pPr>
          </w:p>
        </w:tc>
        <w:tc>
          <w:tcPr>
            <w:tcW w:w="650" w:type="dxa"/>
          </w:tcPr>
          <w:p w14:paraId="4CB754A8" w14:textId="77777777" w:rsidR="00A2092C" w:rsidRPr="00A2092C" w:rsidRDefault="00A2092C" w:rsidP="00193BE0">
            <w:pPr>
              <w:jc w:val="right"/>
              <w:rPr>
                <w:rFonts w:ascii="Arial" w:hAnsi="Arial" w:cs="Arial"/>
                <w:sz w:val="22"/>
                <w:szCs w:val="22"/>
              </w:rPr>
            </w:pPr>
          </w:p>
        </w:tc>
      </w:tr>
      <w:tr w:rsidR="00A2092C" w:rsidRPr="00A2092C" w14:paraId="0CBBAD3C" w14:textId="77777777" w:rsidTr="00193BE0">
        <w:trPr>
          <w:trHeight w:val="279"/>
        </w:trPr>
        <w:tc>
          <w:tcPr>
            <w:tcW w:w="515" w:type="dxa"/>
          </w:tcPr>
          <w:p w14:paraId="5C227DCE"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(d)</w:t>
            </w:r>
          </w:p>
        </w:tc>
        <w:tc>
          <w:tcPr>
            <w:tcW w:w="517" w:type="dxa"/>
          </w:tcPr>
          <w:p w14:paraId="324125CC"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0853D469"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Assess whether ‘disruptive change’ (Extract 3) is the most significant cause of unemployment in Singapore. </w:t>
            </w:r>
          </w:p>
        </w:tc>
        <w:tc>
          <w:tcPr>
            <w:tcW w:w="650" w:type="dxa"/>
          </w:tcPr>
          <w:p w14:paraId="130876B2" w14:textId="77777777" w:rsidR="00A2092C" w:rsidRPr="00A2092C" w:rsidRDefault="00A2092C" w:rsidP="00193BE0">
            <w:pPr>
              <w:jc w:val="right"/>
              <w:rPr>
                <w:rFonts w:ascii="Arial" w:hAnsi="Arial" w:cs="Arial"/>
                <w:sz w:val="22"/>
                <w:szCs w:val="22"/>
              </w:rPr>
            </w:pPr>
          </w:p>
          <w:p w14:paraId="46BE4722"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[8]</w:t>
            </w:r>
          </w:p>
        </w:tc>
      </w:tr>
      <w:tr w:rsidR="00A2092C" w:rsidRPr="00A2092C" w14:paraId="51526C4C" w14:textId="77777777" w:rsidTr="00193BE0">
        <w:trPr>
          <w:trHeight w:val="47"/>
        </w:trPr>
        <w:tc>
          <w:tcPr>
            <w:tcW w:w="515" w:type="dxa"/>
          </w:tcPr>
          <w:p w14:paraId="16F18E06" w14:textId="77777777" w:rsidR="00A2092C" w:rsidRPr="00A2092C" w:rsidRDefault="00A2092C" w:rsidP="00193BE0">
            <w:pPr>
              <w:jc w:val="center"/>
              <w:rPr>
                <w:rFonts w:ascii="Arial" w:hAnsi="Arial" w:cs="Arial"/>
                <w:b/>
                <w:bCs/>
                <w:sz w:val="22"/>
                <w:szCs w:val="22"/>
              </w:rPr>
            </w:pPr>
          </w:p>
        </w:tc>
        <w:tc>
          <w:tcPr>
            <w:tcW w:w="517" w:type="dxa"/>
          </w:tcPr>
          <w:p w14:paraId="4BE22AA3" w14:textId="77777777" w:rsidR="00A2092C" w:rsidRPr="00A2092C" w:rsidRDefault="00A2092C" w:rsidP="00193BE0">
            <w:pPr>
              <w:jc w:val="center"/>
              <w:rPr>
                <w:rFonts w:ascii="Arial" w:hAnsi="Arial" w:cs="Arial"/>
                <w:b/>
                <w:bCs/>
                <w:sz w:val="22"/>
                <w:szCs w:val="22"/>
              </w:rPr>
            </w:pPr>
          </w:p>
        </w:tc>
        <w:tc>
          <w:tcPr>
            <w:tcW w:w="7398" w:type="dxa"/>
          </w:tcPr>
          <w:p w14:paraId="3E8A7A5E" w14:textId="77777777" w:rsidR="00A2092C" w:rsidRPr="00A2092C" w:rsidRDefault="00A2092C" w:rsidP="00193BE0">
            <w:pPr>
              <w:jc w:val="both"/>
              <w:rPr>
                <w:rFonts w:ascii="Arial" w:hAnsi="Arial" w:cs="Arial"/>
                <w:sz w:val="22"/>
                <w:szCs w:val="22"/>
              </w:rPr>
            </w:pPr>
          </w:p>
        </w:tc>
        <w:tc>
          <w:tcPr>
            <w:tcW w:w="650" w:type="dxa"/>
          </w:tcPr>
          <w:p w14:paraId="6185491B" w14:textId="77777777" w:rsidR="00A2092C" w:rsidRPr="00A2092C" w:rsidRDefault="00A2092C" w:rsidP="00193BE0">
            <w:pPr>
              <w:jc w:val="right"/>
              <w:rPr>
                <w:rFonts w:ascii="Arial" w:hAnsi="Arial" w:cs="Arial"/>
                <w:sz w:val="22"/>
                <w:szCs w:val="22"/>
              </w:rPr>
            </w:pPr>
          </w:p>
        </w:tc>
      </w:tr>
      <w:tr w:rsidR="00A2092C" w:rsidRPr="00A2092C" w14:paraId="578CD5DA" w14:textId="77777777" w:rsidTr="00193BE0">
        <w:trPr>
          <w:trHeight w:val="522"/>
        </w:trPr>
        <w:tc>
          <w:tcPr>
            <w:tcW w:w="515" w:type="dxa"/>
          </w:tcPr>
          <w:p w14:paraId="62117121" w14:textId="77777777" w:rsidR="00A2092C" w:rsidRPr="00A2092C" w:rsidRDefault="00A2092C" w:rsidP="00193BE0">
            <w:pPr>
              <w:jc w:val="center"/>
              <w:rPr>
                <w:rFonts w:ascii="Arial" w:hAnsi="Arial" w:cs="Arial"/>
                <w:b/>
                <w:bCs/>
                <w:sz w:val="22"/>
                <w:szCs w:val="22"/>
              </w:rPr>
            </w:pPr>
          </w:p>
        </w:tc>
        <w:tc>
          <w:tcPr>
            <w:tcW w:w="517" w:type="dxa"/>
          </w:tcPr>
          <w:p w14:paraId="522DF0CE"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477BE54E"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Discuss the view that supply-side policy is the best way for the Singapore government to achieve low unemployment.  </w:t>
            </w:r>
          </w:p>
        </w:tc>
        <w:tc>
          <w:tcPr>
            <w:tcW w:w="650" w:type="dxa"/>
          </w:tcPr>
          <w:p w14:paraId="7718AC56" w14:textId="77777777" w:rsidR="00A2092C" w:rsidRPr="00A2092C" w:rsidRDefault="00A2092C" w:rsidP="00193BE0">
            <w:pPr>
              <w:jc w:val="right"/>
              <w:rPr>
                <w:rFonts w:ascii="Arial" w:hAnsi="Arial" w:cs="Arial"/>
                <w:sz w:val="22"/>
                <w:szCs w:val="22"/>
              </w:rPr>
            </w:pPr>
          </w:p>
          <w:p w14:paraId="089858A1"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[8]</w:t>
            </w:r>
          </w:p>
        </w:tc>
      </w:tr>
      <w:tr w:rsidR="00A2092C" w:rsidRPr="00A2092C" w14:paraId="6F348A30" w14:textId="77777777" w:rsidTr="00193BE0">
        <w:trPr>
          <w:trHeight w:val="522"/>
        </w:trPr>
        <w:tc>
          <w:tcPr>
            <w:tcW w:w="9080" w:type="dxa"/>
            <w:gridSpan w:val="4"/>
          </w:tcPr>
          <w:p w14:paraId="50F50355" w14:textId="77777777" w:rsidR="00A2092C" w:rsidRPr="00A2092C" w:rsidRDefault="00A2092C" w:rsidP="00193BE0">
            <w:pPr>
              <w:jc w:val="right"/>
              <w:rPr>
                <w:rFonts w:ascii="Arial" w:hAnsi="Arial" w:cs="Arial"/>
                <w:sz w:val="22"/>
                <w:szCs w:val="22"/>
              </w:rPr>
            </w:pPr>
          </w:p>
          <w:p w14:paraId="628DA660"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[Total: 30]</w:t>
            </w:r>
          </w:p>
        </w:tc>
      </w:tr>
      <w:tr w:rsidR="004A3600" w:rsidRPr="00A2092C" w14:paraId="7E1AAC65" w14:textId="77777777" w:rsidTr="00193BE0">
        <w:trPr>
          <w:trHeight w:val="522"/>
        </w:trPr>
        <w:tc>
          <w:tcPr>
            <w:tcW w:w="9080" w:type="dxa"/>
            <w:gridSpan w:val="4"/>
          </w:tcPr>
          <w:p w14:paraId="4DA6410F" w14:textId="77777777" w:rsidR="004A3600" w:rsidRPr="00A2092C" w:rsidRDefault="004A3600" w:rsidP="00193BE0">
            <w:pPr>
              <w:jc w:val="right"/>
              <w:rPr>
                <w:rFonts w:ascii="Arial" w:hAnsi="Arial" w:cs="Arial"/>
                <w:sz w:val="22"/>
                <w:szCs w:val="22"/>
              </w:rPr>
            </w:pPr>
          </w:p>
        </w:tc>
      </w:tr>
    </w:tbl>
    <w:p w14:paraId="605497A0" w14:textId="77777777" w:rsidR="004A3600" w:rsidRDefault="004A3600" w:rsidP="00813287">
      <w:pPr>
        <w:rPr>
          <w:rFonts w:ascii="Arial" w:hAnsi="Arial" w:cs="Arial"/>
          <w:b/>
          <w:bCs/>
          <w:sz w:val="30"/>
          <w:szCs w:val="30"/>
          <w:u w:val="single"/>
        </w:rPr>
      </w:pPr>
    </w:p>
    <w:p w14:paraId="2849B58F" w14:textId="77777777" w:rsidR="004A3600" w:rsidRDefault="004A3600" w:rsidP="00813287">
      <w:pPr>
        <w:rPr>
          <w:rFonts w:ascii="Arial" w:hAnsi="Arial" w:cs="Arial"/>
          <w:b/>
          <w:bCs/>
          <w:sz w:val="30"/>
          <w:szCs w:val="30"/>
          <w:u w:val="single"/>
        </w:rPr>
      </w:pPr>
    </w:p>
    <w:p w14:paraId="2EC70006" w14:textId="77777777" w:rsidR="004A3600" w:rsidRDefault="004A3600" w:rsidP="00813287">
      <w:pPr>
        <w:rPr>
          <w:rFonts w:ascii="Arial" w:hAnsi="Arial" w:cs="Arial"/>
          <w:b/>
          <w:bCs/>
          <w:sz w:val="30"/>
          <w:szCs w:val="30"/>
          <w:u w:val="single"/>
        </w:rPr>
      </w:pPr>
    </w:p>
    <w:p w14:paraId="2358AE30" w14:textId="77777777" w:rsidR="004A3600" w:rsidRDefault="004A3600" w:rsidP="00813287">
      <w:pPr>
        <w:rPr>
          <w:rFonts w:ascii="Arial" w:hAnsi="Arial" w:cs="Arial"/>
          <w:b/>
          <w:bCs/>
          <w:sz w:val="30"/>
          <w:szCs w:val="30"/>
          <w:u w:val="single"/>
        </w:rPr>
      </w:pPr>
    </w:p>
    <w:p w14:paraId="1C1F3045" w14:textId="77777777" w:rsidR="004A3600" w:rsidRDefault="004A3600" w:rsidP="00813287">
      <w:pPr>
        <w:rPr>
          <w:rFonts w:ascii="Arial" w:hAnsi="Arial" w:cs="Arial"/>
          <w:b/>
          <w:bCs/>
          <w:sz w:val="30"/>
          <w:szCs w:val="30"/>
          <w:u w:val="single"/>
        </w:rPr>
      </w:pPr>
    </w:p>
    <w:p w14:paraId="738B8FD2" w14:textId="77777777" w:rsidR="004A3600" w:rsidRDefault="004A3600" w:rsidP="00813287">
      <w:pPr>
        <w:rPr>
          <w:rFonts w:ascii="Arial" w:hAnsi="Arial" w:cs="Arial"/>
          <w:b/>
          <w:bCs/>
          <w:sz w:val="30"/>
          <w:szCs w:val="30"/>
          <w:u w:val="single"/>
        </w:rPr>
      </w:pPr>
    </w:p>
    <w:p w14:paraId="4C195370" w14:textId="77777777" w:rsidR="004A3600" w:rsidRDefault="004A3600" w:rsidP="00813287">
      <w:pPr>
        <w:rPr>
          <w:rFonts w:ascii="Arial" w:hAnsi="Arial" w:cs="Arial"/>
          <w:b/>
          <w:bCs/>
          <w:sz w:val="30"/>
          <w:szCs w:val="30"/>
          <w:u w:val="single"/>
        </w:rPr>
      </w:pPr>
    </w:p>
    <w:p w14:paraId="02A2DC1D" w14:textId="77777777" w:rsidR="004A3600" w:rsidRDefault="004A3600" w:rsidP="00813287">
      <w:pPr>
        <w:rPr>
          <w:rFonts w:ascii="Arial" w:hAnsi="Arial" w:cs="Arial"/>
          <w:b/>
          <w:bCs/>
          <w:sz w:val="30"/>
          <w:szCs w:val="30"/>
          <w:u w:val="single"/>
        </w:rPr>
      </w:pPr>
    </w:p>
    <w:p w14:paraId="3CE2F1A4" w14:textId="77777777" w:rsidR="004A3600" w:rsidRDefault="004A3600" w:rsidP="00813287">
      <w:pPr>
        <w:rPr>
          <w:rFonts w:ascii="Arial" w:hAnsi="Arial" w:cs="Arial"/>
          <w:b/>
          <w:bCs/>
          <w:sz w:val="30"/>
          <w:szCs w:val="30"/>
          <w:u w:val="single"/>
        </w:rPr>
      </w:pPr>
    </w:p>
    <w:p w14:paraId="695D07C1" w14:textId="77777777" w:rsidR="004A3600" w:rsidRDefault="004A3600" w:rsidP="00813287">
      <w:pPr>
        <w:rPr>
          <w:rFonts w:ascii="Arial" w:hAnsi="Arial" w:cs="Arial"/>
          <w:b/>
          <w:bCs/>
          <w:sz w:val="30"/>
          <w:szCs w:val="30"/>
          <w:u w:val="single"/>
        </w:rPr>
      </w:pPr>
    </w:p>
    <w:p w14:paraId="30FF6C87" w14:textId="77777777" w:rsidR="004A3600" w:rsidRDefault="004A3600" w:rsidP="00813287">
      <w:pPr>
        <w:rPr>
          <w:rFonts w:ascii="Arial" w:hAnsi="Arial" w:cs="Arial"/>
          <w:b/>
          <w:bCs/>
          <w:sz w:val="30"/>
          <w:szCs w:val="30"/>
          <w:u w:val="single"/>
        </w:rPr>
      </w:pPr>
    </w:p>
    <w:p w14:paraId="51F342B8" w14:textId="77777777" w:rsidR="004A3600" w:rsidRDefault="004A3600" w:rsidP="00813287">
      <w:pPr>
        <w:rPr>
          <w:rFonts w:ascii="Arial" w:hAnsi="Arial" w:cs="Arial"/>
          <w:b/>
          <w:bCs/>
          <w:sz w:val="30"/>
          <w:szCs w:val="30"/>
          <w:u w:val="single"/>
        </w:rPr>
      </w:pPr>
    </w:p>
    <w:p w14:paraId="7C537836" w14:textId="77777777" w:rsidR="004A3600" w:rsidRDefault="004A3600" w:rsidP="00813287">
      <w:pPr>
        <w:rPr>
          <w:rFonts w:ascii="Arial" w:hAnsi="Arial" w:cs="Arial"/>
          <w:b/>
          <w:bCs/>
          <w:sz w:val="30"/>
          <w:szCs w:val="30"/>
          <w:u w:val="single"/>
        </w:rPr>
      </w:pPr>
    </w:p>
    <w:p w14:paraId="2937BAFC" w14:textId="77777777" w:rsidR="004A3600" w:rsidRDefault="004A3600" w:rsidP="00813287">
      <w:pPr>
        <w:rPr>
          <w:rFonts w:ascii="Arial" w:hAnsi="Arial" w:cs="Arial"/>
          <w:b/>
          <w:bCs/>
          <w:sz w:val="30"/>
          <w:szCs w:val="30"/>
          <w:u w:val="single"/>
        </w:rPr>
      </w:pPr>
    </w:p>
    <w:p w14:paraId="5A0D29B1" w14:textId="77777777" w:rsidR="004A3600" w:rsidRDefault="004A3600" w:rsidP="00813287">
      <w:pPr>
        <w:rPr>
          <w:rFonts w:ascii="Arial" w:hAnsi="Arial" w:cs="Arial"/>
          <w:b/>
          <w:bCs/>
          <w:sz w:val="30"/>
          <w:szCs w:val="30"/>
          <w:u w:val="single"/>
        </w:rPr>
      </w:pPr>
    </w:p>
    <w:p w14:paraId="46054477" w14:textId="77777777" w:rsidR="004A3600" w:rsidRDefault="004A3600" w:rsidP="00813287">
      <w:pPr>
        <w:rPr>
          <w:rFonts w:ascii="Arial" w:hAnsi="Arial" w:cs="Arial"/>
          <w:b/>
          <w:bCs/>
          <w:sz w:val="30"/>
          <w:szCs w:val="30"/>
          <w:u w:val="single"/>
        </w:rPr>
      </w:pPr>
    </w:p>
    <w:p w14:paraId="532068EA" w14:textId="77777777" w:rsidR="004A3600" w:rsidRDefault="004A3600" w:rsidP="00813287">
      <w:pPr>
        <w:rPr>
          <w:rFonts w:ascii="Arial" w:hAnsi="Arial" w:cs="Arial"/>
          <w:b/>
          <w:bCs/>
          <w:sz w:val="30"/>
          <w:szCs w:val="30"/>
          <w:u w:val="single"/>
        </w:rPr>
      </w:pPr>
    </w:p>
    <w:p w14:paraId="1D65B120" w14:textId="77777777" w:rsidR="004A3600" w:rsidRDefault="004A3600" w:rsidP="00813287">
      <w:pPr>
        <w:rPr>
          <w:rFonts w:ascii="Arial" w:hAnsi="Arial" w:cs="Arial"/>
          <w:b/>
          <w:bCs/>
          <w:sz w:val="30"/>
          <w:szCs w:val="30"/>
          <w:u w:val="single"/>
        </w:rPr>
      </w:pPr>
    </w:p>
    <w:p w14:paraId="6148E37A" w14:textId="77777777" w:rsidR="004A3600" w:rsidRDefault="004A3600" w:rsidP="00813287">
      <w:pPr>
        <w:rPr>
          <w:rFonts w:ascii="Arial" w:hAnsi="Arial" w:cs="Arial"/>
          <w:b/>
          <w:bCs/>
          <w:sz w:val="30"/>
          <w:szCs w:val="30"/>
          <w:u w:val="single"/>
        </w:rPr>
      </w:pPr>
    </w:p>
    <w:sectPr w:rsidR="004A3600"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9D1F" w14:textId="77777777" w:rsidR="008207EB" w:rsidRDefault="008207EB" w:rsidP="00566AB3">
      <w:r>
        <w:separator/>
      </w:r>
    </w:p>
  </w:endnote>
  <w:endnote w:type="continuationSeparator" w:id="0">
    <w:p w14:paraId="188F756D" w14:textId="77777777" w:rsidR="008207EB" w:rsidRDefault="008207E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9F05" w14:textId="77777777"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4FD22A9" w14:textId="77777777"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E278ECE" w14:textId="77777777"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88E5" w14:textId="77777777" w:rsidR="008207EB" w:rsidRDefault="008207EB" w:rsidP="00566AB3">
      <w:r>
        <w:separator/>
      </w:r>
    </w:p>
  </w:footnote>
  <w:footnote w:type="continuationSeparator" w:id="0">
    <w:p w14:paraId="4C42EF16" w14:textId="77777777" w:rsidR="008207EB" w:rsidRDefault="008207E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205A299" w14:textId="77777777"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6A3EAD85" wp14:editId="0193C1FA">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C855490" wp14:editId="4209C96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92DAB" w:rsidRPr="00B92DAB">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2"/>
    <w:multiLevelType w:val="hybridMultilevel"/>
    <w:tmpl w:val="D0DE6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6696F5E"/>
    <w:multiLevelType w:val="hybridMultilevel"/>
    <w:tmpl w:val="AA306B4C"/>
    <w:lvl w:ilvl="0" w:tplc="D094562E">
      <w:start w:val="2"/>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31C95"/>
    <w:multiLevelType w:val="hybridMultilevel"/>
    <w:tmpl w:val="6BBED7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CE5"/>
    <w:multiLevelType w:val="hybridMultilevel"/>
    <w:tmpl w:val="D5689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3" w15:restartNumberingAfterBreak="0">
    <w:nsid w:val="354021BF"/>
    <w:multiLevelType w:val="hybridMultilevel"/>
    <w:tmpl w:val="CD442D02"/>
    <w:lvl w:ilvl="0" w:tplc="703ABFE8">
      <w:start w:val="4"/>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5A6CEB"/>
    <w:multiLevelType w:val="hybridMultilevel"/>
    <w:tmpl w:val="76AAC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F3335BA"/>
    <w:multiLevelType w:val="hybridMultilevel"/>
    <w:tmpl w:val="C1A42D7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6454D"/>
    <w:multiLevelType w:val="hybridMultilevel"/>
    <w:tmpl w:val="7F4ADBA0"/>
    <w:lvl w:ilvl="0" w:tplc="66624A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20511F"/>
    <w:multiLevelType w:val="hybridMultilevel"/>
    <w:tmpl w:val="C7B293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18"/>
  </w:num>
  <w:num w:numId="6">
    <w:abstractNumId w:val="2"/>
  </w:num>
  <w:num w:numId="7">
    <w:abstractNumId w:val="0"/>
  </w:num>
  <w:num w:numId="8">
    <w:abstractNumId w:val="3"/>
  </w:num>
  <w:num w:numId="9">
    <w:abstractNumId w:val="4"/>
  </w:num>
  <w:num w:numId="10">
    <w:abstractNumId w:val="16"/>
  </w:num>
  <w:num w:numId="11">
    <w:abstractNumId w:val="19"/>
  </w:num>
  <w:num w:numId="12">
    <w:abstractNumId w:val="8"/>
  </w:num>
  <w:num w:numId="13">
    <w:abstractNumId w:val="17"/>
  </w:num>
  <w:num w:numId="14">
    <w:abstractNumId w:val="1"/>
  </w:num>
  <w:num w:numId="15">
    <w:abstractNumId w:val="21"/>
  </w:num>
  <w:num w:numId="16">
    <w:abstractNumId w:val="9"/>
  </w:num>
  <w:num w:numId="17">
    <w:abstractNumId w:val="15"/>
  </w:num>
  <w:num w:numId="18">
    <w:abstractNumId w:val="14"/>
  </w:num>
  <w:num w:numId="19">
    <w:abstractNumId w:val="20"/>
  </w:num>
  <w:num w:numId="20">
    <w:abstractNumId w:val="13"/>
  </w:num>
  <w:num w:numId="21">
    <w:abstractNumId w:val="6"/>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717E0"/>
    <w:rsid w:val="000802E1"/>
    <w:rsid w:val="0009228B"/>
    <w:rsid w:val="000A4E14"/>
    <w:rsid w:val="000B1C8E"/>
    <w:rsid w:val="000B3879"/>
    <w:rsid w:val="000C2227"/>
    <w:rsid w:val="000C77DA"/>
    <w:rsid w:val="000D20CD"/>
    <w:rsid w:val="000E17FC"/>
    <w:rsid w:val="000F3ED5"/>
    <w:rsid w:val="00131418"/>
    <w:rsid w:val="00135568"/>
    <w:rsid w:val="00153DC4"/>
    <w:rsid w:val="00160360"/>
    <w:rsid w:val="00170D44"/>
    <w:rsid w:val="00182D5F"/>
    <w:rsid w:val="001A2A94"/>
    <w:rsid w:val="001B155A"/>
    <w:rsid w:val="001B72DB"/>
    <w:rsid w:val="001C2128"/>
    <w:rsid w:val="001F7404"/>
    <w:rsid w:val="00235736"/>
    <w:rsid w:val="00237B2C"/>
    <w:rsid w:val="002501ED"/>
    <w:rsid w:val="002B0680"/>
    <w:rsid w:val="002B7E3E"/>
    <w:rsid w:val="002E71DB"/>
    <w:rsid w:val="00317222"/>
    <w:rsid w:val="003346C6"/>
    <w:rsid w:val="00360F5C"/>
    <w:rsid w:val="0036176B"/>
    <w:rsid w:val="0036545A"/>
    <w:rsid w:val="00366349"/>
    <w:rsid w:val="00387230"/>
    <w:rsid w:val="003A075A"/>
    <w:rsid w:val="003B03E6"/>
    <w:rsid w:val="003B20E1"/>
    <w:rsid w:val="00414884"/>
    <w:rsid w:val="0042072D"/>
    <w:rsid w:val="0042080E"/>
    <w:rsid w:val="00421818"/>
    <w:rsid w:val="00467528"/>
    <w:rsid w:val="0049115B"/>
    <w:rsid w:val="00494EBE"/>
    <w:rsid w:val="004A07B7"/>
    <w:rsid w:val="004A3600"/>
    <w:rsid w:val="004F4B42"/>
    <w:rsid w:val="00516C02"/>
    <w:rsid w:val="0051795C"/>
    <w:rsid w:val="005200EB"/>
    <w:rsid w:val="00532A2A"/>
    <w:rsid w:val="00533570"/>
    <w:rsid w:val="0054257C"/>
    <w:rsid w:val="00564385"/>
    <w:rsid w:val="00566AB3"/>
    <w:rsid w:val="005B5783"/>
    <w:rsid w:val="005C4B5C"/>
    <w:rsid w:val="005C6476"/>
    <w:rsid w:val="005E0FEE"/>
    <w:rsid w:val="005F7A55"/>
    <w:rsid w:val="00624855"/>
    <w:rsid w:val="00645C6A"/>
    <w:rsid w:val="006571AA"/>
    <w:rsid w:val="0066301C"/>
    <w:rsid w:val="00694834"/>
    <w:rsid w:val="006B08AC"/>
    <w:rsid w:val="006D7702"/>
    <w:rsid w:val="006F6BF7"/>
    <w:rsid w:val="00705CBB"/>
    <w:rsid w:val="00721D90"/>
    <w:rsid w:val="007304CF"/>
    <w:rsid w:val="0074286E"/>
    <w:rsid w:val="00743737"/>
    <w:rsid w:val="007739C9"/>
    <w:rsid w:val="00773A7B"/>
    <w:rsid w:val="007B4EB6"/>
    <w:rsid w:val="007E15BC"/>
    <w:rsid w:val="007E3833"/>
    <w:rsid w:val="00813287"/>
    <w:rsid w:val="008207EB"/>
    <w:rsid w:val="00827970"/>
    <w:rsid w:val="00831525"/>
    <w:rsid w:val="008365EE"/>
    <w:rsid w:val="008461F6"/>
    <w:rsid w:val="00875B84"/>
    <w:rsid w:val="00875E2F"/>
    <w:rsid w:val="00890F0E"/>
    <w:rsid w:val="008A063A"/>
    <w:rsid w:val="008A7B52"/>
    <w:rsid w:val="008C5B71"/>
    <w:rsid w:val="008D5AFD"/>
    <w:rsid w:val="009059DA"/>
    <w:rsid w:val="00940BDF"/>
    <w:rsid w:val="00946530"/>
    <w:rsid w:val="0096696E"/>
    <w:rsid w:val="00974A3B"/>
    <w:rsid w:val="00977B3C"/>
    <w:rsid w:val="00987EC5"/>
    <w:rsid w:val="00992E96"/>
    <w:rsid w:val="009B23EC"/>
    <w:rsid w:val="009D333F"/>
    <w:rsid w:val="009D77F1"/>
    <w:rsid w:val="009E1A76"/>
    <w:rsid w:val="009E43C1"/>
    <w:rsid w:val="009E5972"/>
    <w:rsid w:val="00A2092C"/>
    <w:rsid w:val="00A2101D"/>
    <w:rsid w:val="00A22544"/>
    <w:rsid w:val="00A23791"/>
    <w:rsid w:val="00A23FD8"/>
    <w:rsid w:val="00A24905"/>
    <w:rsid w:val="00A32A91"/>
    <w:rsid w:val="00A4117C"/>
    <w:rsid w:val="00A51728"/>
    <w:rsid w:val="00A53FB9"/>
    <w:rsid w:val="00A61549"/>
    <w:rsid w:val="00A74662"/>
    <w:rsid w:val="00A9252F"/>
    <w:rsid w:val="00AB02C5"/>
    <w:rsid w:val="00AB637A"/>
    <w:rsid w:val="00AC5A24"/>
    <w:rsid w:val="00AD7502"/>
    <w:rsid w:val="00AF1D50"/>
    <w:rsid w:val="00AF7AAF"/>
    <w:rsid w:val="00B168E3"/>
    <w:rsid w:val="00B31FD4"/>
    <w:rsid w:val="00B50C2D"/>
    <w:rsid w:val="00B63906"/>
    <w:rsid w:val="00B71D5A"/>
    <w:rsid w:val="00B759A3"/>
    <w:rsid w:val="00B84C59"/>
    <w:rsid w:val="00B92DAB"/>
    <w:rsid w:val="00BB5B5E"/>
    <w:rsid w:val="00BC7F3F"/>
    <w:rsid w:val="00BF23E5"/>
    <w:rsid w:val="00BF2E89"/>
    <w:rsid w:val="00BF5BA7"/>
    <w:rsid w:val="00BF74C4"/>
    <w:rsid w:val="00C11522"/>
    <w:rsid w:val="00C51D84"/>
    <w:rsid w:val="00C7521B"/>
    <w:rsid w:val="00C85F53"/>
    <w:rsid w:val="00C86EF1"/>
    <w:rsid w:val="00C902A6"/>
    <w:rsid w:val="00CA53BB"/>
    <w:rsid w:val="00CF0F97"/>
    <w:rsid w:val="00CF420A"/>
    <w:rsid w:val="00D11632"/>
    <w:rsid w:val="00D144A1"/>
    <w:rsid w:val="00D24A32"/>
    <w:rsid w:val="00D8626F"/>
    <w:rsid w:val="00DC5D56"/>
    <w:rsid w:val="00DE1864"/>
    <w:rsid w:val="00E1305F"/>
    <w:rsid w:val="00E13CDC"/>
    <w:rsid w:val="00E209F7"/>
    <w:rsid w:val="00E378C1"/>
    <w:rsid w:val="00E4462D"/>
    <w:rsid w:val="00E56925"/>
    <w:rsid w:val="00EA761E"/>
    <w:rsid w:val="00EC78A0"/>
    <w:rsid w:val="00F10507"/>
    <w:rsid w:val="00F10F90"/>
    <w:rsid w:val="00F117FA"/>
    <w:rsid w:val="00F12E6A"/>
    <w:rsid w:val="00F20162"/>
    <w:rsid w:val="00F2205A"/>
    <w:rsid w:val="00F33764"/>
    <w:rsid w:val="00F70B53"/>
    <w:rsid w:val="00F81B5B"/>
    <w:rsid w:val="00F87A35"/>
    <w:rsid w:val="00FC2BF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BB01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table" w:customStyle="1" w:styleId="TableGrid3">
    <w:name w:val="Table Grid3"/>
    <w:basedOn w:val="TableNormal"/>
    <w:next w:val="TableGrid"/>
    <w:uiPriority w:val="59"/>
    <w:rsid w:val="00B168E3"/>
    <w:pPr>
      <w:spacing w:after="0" w:line="240" w:lineRule="auto"/>
    </w:pPr>
    <w:rPr>
      <w:rFonts w:eastAsiaTheme="minorEastAsia"/>
      <w:lan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6B5494-511A-4FAA-ACB6-1FC2045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Extract 1: UK economic growth has slowed dramatically, latest survey suggests</vt:lpstr>
      <vt:lpstr>Extract 2: China pledges policy support to economy, reform in 2016</vt:lpstr>
      <vt:lpstr>Extract 3: Shedding light on slowing growth: What ails Singapore's economy?</vt:lpstr>
      <vt:lpstr/>
      <vt:lpstr>Singapore's small, trade-dependent economy is under the weather. While the count</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2020-03-18T06:09:00Z</cp:lastPrinted>
  <dcterms:created xsi:type="dcterms:W3CDTF">2022-03-20T00:05:00Z</dcterms:created>
  <dcterms:modified xsi:type="dcterms:W3CDTF">2022-03-20T00:05:00Z</dcterms:modified>
</cp:coreProperties>
</file>